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16476" w14:textId="77777777" w:rsidR="00F310B8" w:rsidRDefault="00F310B8" w:rsidP="00F310B8">
      <w:pPr>
        <w:ind w:right="-709"/>
        <w:jc w:val="right"/>
        <w:rPr>
          <w:rFonts w:ascii="Arial" w:hAnsi="Arial" w:cs="Arial"/>
          <w:b/>
          <w:bCs/>
          <w:color w:val="000000"/>
          <w:sz w:val="32"/>
          <w:szCs w:val="32"/>
        </w:rPr>
      </w:pPr>
    </w:p>
    <w:p w14:paraId="3667D06B" w14:textId="77777777" w:rsidR="00593EA2" w:rsidRDefault="00593EA2" w:rsidP="00593EA2">
      <w:pPr>
        <w:spacing w:after="0" w:line="240" w:lineRule="auto"/>
        <w:rPr>
          <w:rFonts w:ascii="Arial" w:hAnsi="Arial" w:cs="Arial"/>
          <w:bCs/>
          <w:color w:val="000000"/>
          <w:u w:val="single"/>
        </w:rPr>
      </w:pPr>
    </w:p>
    <w:p w14:paraId="47B372A3" w14:textId="77777777" w:rsidR="00593EA2" w:rsidRPr="000919DE" w:rsidRDefault="001F7BAA" w:rsidP="000919D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bCs/>
          <w:i/>
          <w:color w:val="000000"/>
        </w:rPr>
      </w:pPr>
      <w:r>
        <w:rPr>
          <w:rFonts w:ascii="Arial" w:hAnsi="Arial"/>
          <w:i/>
          <w:color w:val="000000"/>
          <w:u w:val="single"/>
        </w:rPr>
        <w:t>Please note:</w:t>
      </w:r>
      <w:r>
        <w:rPr>
          <w:rFonts w:ascii="Arial" w:hAnsi="Arial"/>
          <w:i/>
          <w:color w:val="000000"/>
        </w:rPr>
        <w:t xml:space="preserve"> The purpose of the following information is to make the essence of the arrangement between the parties to the agreement available to all data subjects. In order for data subjects to be able to exercise their rights effectively, it is essential that the information provided here is generally intelligible and transparent. </w:t>
      </w:r>
    </w:p>
    <w:p w14:paraId="4A41A1EB" w14:textId="59377BB2" w:rsidR="00593EA2" w:rsidRDefault="00593EA2" w:rsidP="000919DE">
      <w:pPr>
        <w:spacing w:before="240" w:after="0" w:line="240" w:lineRule="auto"/>
        <w:jc w:val="both"/>
        <w:rPr>
          <w:rFonts w:ascii="Arial" w:hAnsi="Arial" w:cs="Arial"/>
          <w:bCs/>
          <w:color w:val="000000"/>
        </w:rPr>
      </w:pPr>
      <w:r>
        <w:rPr>
          <w:rFonts w:ascii="Arial" w:hAnsi="Arial"/>
          <w:color w:val="FF0000"/>
        </w:rPr>
        <w:t xml:space="preserve">Party 1 </w:t>
      </w:r>
      <w:r>
        <w:rPr>
          <w:rFonts w:ascii="Arial" w:hAnsi="Arial"/>
          <w:color w:val="000000"/>
        </w:rPr>
        <w:t xml:space="preserve">and </w:t>
      </w:r>
      <w:r>
        <w:rPr>
          <w:rFonts w:ascii="Arial" w:hAnsi="Arial"/>
          <w:color w:val="FF0000"/>
        </w:rPr>
        <w:t>Party 2</w:t>
      </w:r>
      <w:r>
        <w:rPr>
          <w:rFonts w:ascii="Arial" w:hAnsi="Arial"/>
          <w:color w:val="000000"/>
        </w:rPr>
        <w:t xml:space="preserve"> will work closely together</w:t>
      </w:r>
      <w:r>
        <w:rPr>
          <w:rFonts w:ascii="Arial" w:hAnsi="Arial"/>
        </w:rPr>
        <w:t xml:space="preserve"> on</w:t>
      </w:r>
      <w:r w:rsidR="00BE4D61">
        <w:rPr>
          <w:rFonts w:ascii="Arial" w:hAnsi="Arial"/>
        </w:rPr>
        <w:t xml:space="preserve"> </w:t>
      </w:r>
      <w:r>
        <w:rPr>
          <w:rFonts w:ascii="Arial" w:hAnsi="Arial"/>
          <w:color w:val="FF0000"/>
        </w:rPr>
        <w:t>“the project”</w:t>
      </w:r>
      <w:r>
        <w:rPr>
          <w:rFonts w:ascii="Arial" w:hAnsi="Arial"/>
          <w:color w:val="000000"/>
        </w:rPr>
        <w:t xml:space="preserve">. Personal data will be processed at different stages of processing and by different systems operated by either </w:t>
      </w:r>
      <w:r>
        <w:rPr>
          <w:rFonts w:ascii="Arial" w:hAnsi="Arial"/>
          <w:color w:val="FF0000"/>
        </w:rPr>
        <w:t xml:space="preserve">Party 1 </w:t>
      </w:r>
      <w:r>
        <w:rPr>
          <w:rFonts w:ascii="Arial" w:hAnsi="Arial"/>
          <w:color w:val="000000"/>
        </w:rPr>
        <w:t xml:space="preserve">or </w:t>
      </w:r>
      <w:r>
        <w:rPr>
          <w:rFonts w:ascii="Arial" w:hAnsi="Arial"/>
          <w:color w:val="FF0000"/>
        </w:rPr>
        <w:t>Party 2</w:t>
      </w:r>
      <w:r>
        <w:rPr>
          <w:rFonts w:ascii="Arial" w:hAnsi="Arial"/>
          <w:color w:val="000000"/>
        </w:rPr>
        <w:t>. This will also apply to the processing of your personal data. The parties have jointly determined the sequence in which this data will be processed for each stage of processing</w:t>
      </w:r>
      <w:r>
        <w:rPr>
          <w:rFonts w:ascii="Arial" w:hAnsi="Arial"/>
        </w:rPr>
        <w:t xml:space="preserve">. The parties </w:t>
      </w:r>
      <w:r>
        <w:rPr>
          <w:rFonts w:ascii="Arial" w:hAnsi="Arial"/>
          <w:color w:val="000000"/>
        </w:rPr>
        <w:t>will therefore be acting as joint controllers responsible for the protection of your personal data within the stages of processing set out below (Article 26 GDPR).</w:t>
      </w:r>
    </w:p>
    <w:p w14:paraId="52ED91E1" w14:textId="77777777" w:rsidR="00AB1EA5" w:rsidRPr="00593EA2" w:rsidRDefault="00AB1EA5" w:rsidP="000919DE">
      <w:pPr>
        <w:jc w:val="both"/>
        <w:rPr>
          <w:rFonts w:ascii="Arial" w:hAnsi="Arial" w:cs="Arial"/>
        </w:rPr>
      </w:pPr>
    </w:p>
    <w:p w14:paraId="7F0258F3" w14:textId="77777777" w:rsidR="00593EA2" w:rsidRPr="000919DE" w:rsidRDefault="000B59E2" w:rsidP="000919DE">
      <w:pPr>
        <w:spacing w:before="240" w:after="0" w:line="240" w:lineRule="auto"/>
        <w:jc w:val="both"/>
        <w:rPr>
          <w:rFonts w:ascii="Arial" w:hAnsi="Arial" w:cs="Arial"/>
          <w:b/>
          <w:bCs/>
          <w:color w:val="0070C0"/>
        </w:rPr>
      </w:pPr>
      <w:r>
        <w:rPr>
          <w:rFonts w:ascii="Arial" w:hAnsi="Arial"/>
          <w:b/>
          <w:color w:val="0070C0"/>
        </w:rPr>
        <w:t>At which stages of processing will data be processed, and how? What have the parties agreed upon?</w:t>
      </w:r>
    </w:p>
    <w:p w14:paraId="181B57EB" w14:textId="4563C053" w:rsidR="00593EA2" w:rsidRPr="000919DE" w:rsidRDefault="00593EA2" w:rsidP="000919DE">
      <w:pPr>
        <w:spacing w:before="240" w:after="0" w:line="240" w:lineRule="auto"/>
        <w:jc w:val="both"/>
        <w:rPr>
          <w:rFonts w:ascii="Arial" w:hAnsi="Arial" w:cs="Arial"/>
          <w:i/>
          <w:color w:val="FF0000"/>
          <w:u w:val="single"/>
        </w:rPr>
      </w:pPr>
      <w:r>
        <w:rPr>
          <w:rFonts w:ascii="Arial" w:hAnsi="Arial"/>
          <w:i/>
          <w:color w:val="FF0000"/>
          <w:highlight w:val="lightGray"/>
          <w:u w:val="single"/>
        </w:rPr>
        <w:t>[Please provide a clear and concise description of each processing stage. - Control question: How will personal data be processed by the different systems?]</w:t>
      </w:r>
    </w:p>
    <w:p w14:paraId="6C088CBD" w14:textId="77777777" w:rsidR="00593EA2" w:rsidRPr="000919DE" w:rsidRDefault="00593EA2" w:rsidP="000919DE">
      <w:pPr>
        <w:spacing w:before="240" w:after="0" w:line="240" w:lineRule="auto"/>
        <w:jc w:val="both"/>
        <w:rPr>
          <w:rFonts w:ascii="Arial" w:hAnsi="Arial" w:cs="Arial"/>
          <w:bCs/>
          <w:color w:val="000000"/>
        </w:rPr>
      </w:pPr>
      <w:r>
        <w:rPr>
          <w:rFonts w:ascii="Arial" w:hAnsi="Arial"/>
          <w:color w:val="000000"/>
        </w:rPr>
        <w:t xml:space="preserve">As part of their joint controllership under data protection law, </w:t>
      </w:r>
      <w:r>
        <w:rPr>
          <w:rFonts w:ascii="Arial" w:hAnsi="Arial"/>
          <w:color w:val="FF0000"/>
        </w:rPr>
        <w:t xml:space="preserve">Party 1 </w:t>
      </w:r>
      <w:r>
        <w:rPr>
          <w:rFonts w:ascii="Arial" w:hAnsi="Arial"/>
          <w:color w:val="000000"/>
        </w:rPr>
        <w:t xml:space="preserve">and </w:t>
      </w:r>
      <w:r>
        <w:rPr>
          <w:rFonts w:ascii="Arial" w:hAnsi="Arial"/>
          <w:color w:val="FF0000"/>
        </w:rPr>
        <w:t>Party 2</w:t>
      </w:r>
      <w:r>
        <w:rPr>
          <w:rFonts w:ascii="Arial" w:hAnsi="Arial"/>
          <w:color w:val="000000"/>
        </w:rPr>
        <w:t xml:space="preserve"> have agreed which party will be responsible for which stages of processing:</w:t>
      </w:r>
    </w:p>
    <w:p w14:paraId="1F0C1B9C" w14:textId="77777777" w:rsidR="0041565E" w:rsidRDefault="0041565E" w:rsidP="0041565E">
      <w:pPr>
        <w:spacing w:after="0" w:line="240" w:lineRule="auto"/>
        <w:rPr>
          <w:rFonts w:ascii="Arial" w:hAnsi="Arial" w:cs="Arial"/>
          <w:bCs/>
          <w:color w:val="000000"/>
        </w:rPr>
      </w:pPr>
    </w:p>
    <w:tbl>
      <w:tblPr>
        <w:tblStyle w:val="Tabellenraster"/>
        <w:tblW w:w="9063" w:type="dxa"/>
        <w:tblLook w:val="04A0" w:firstRow="1" w:lastRow="0" w:firstColumn="1" w:lastColumn="0" w:noHBand="0" w:noVBand="1"/>
      </w:tblPr>
      <w:tblGrid>
        <w:gridCol w:w="2085"/>
        <w:gridCol w:w="2020"/>
        <w:gridCol w:w="2909"/>
        <w:gridCol w:w="2049"/>
      </w:tblGrid>
      <w:tr w:rsidR="00C65BE7" w:rsidRPr="00893AF4" w14:paraId="2234F401" w14:textId="77777777" w:rsidTr="00C65BE7">
        <w:tc>
          <w:tcPr>
            <w:tcW w:w="2085" w:type="dxa"/>
          </w:tcPr>
          <w:p w14:paraId="2E8BE758" w14:textId="77777777" w:rsidR="00C65BE7" w:rsidRPr="00AA7B7A" w:rsidRDefault="00C65BE7" w:rsidP="00A71B66">
            <w:pPr>
              <w:jc w:val="both"/>
              <w:rPr>
                <w:rFonts w:ascii="Arial Narrow" w:hAnsi="Arial Narrow" w:cs="Arial"/>
                <w:b/>
                <w:bCs/>
              </w:rPr>
            </w:pPr>
            <w:r>
              <w:rPr>
                <w:rFonts w:ascii="Arial Narrow" w:hAnsi="Arial Narrow"/>
                <w:b/>
              </w:rPr>
              <w:t xml:space="preserve">Data processing stage </w:t>
            </w:r>
          </w:p>
          <w:p w14:paraId="4836F33C" w14:textId="77777777" w:rsidR="00C65BE7" w:rsidRPr="00AA7B7A" w:rsidRDefault="00C65BE7" w:rsidP="00A71B66">
            <w:pPr>
              <w:jc w:val="both"/>
              <w:rPr>
                <w:rFonts w:ascii="Arial Narrow" w:hAnsi="Arial Narrow" w:cs="Arial"/>
                <w:bCs/>
                <w:i/>
              </w:rPr>
            </w:pPr>
            <w:r>
              <w:rPr>
                <w:rFonts w:ascii="Arial Narrow" w:hAnsi="Arial Narrow"/>
                <w:i/>
              </w:rPr>
              <w:t>Abstract data processing stage</w:t>
            </w:r>
          </w:p>
        </w:tc>
        <w:tc>
          <w:tcPr>
            <w:tcW w:w="2020" w:type="dxa"/>
          </w:tcPr>
          <w:p w14:paraId="7F1E1D95" w14:textId="77777777" w:rsidR="00C65BE7" w:rsidRPr="00AA7B7A" w:rsidRDefault="00C65BE7" w:rsidP="00A71B66">
            <w:pPr>
              <w:jc w:val="both"/>
              <w:rPr>
                <w:rFonts w:ascii="Arial Narrow" w:hAnsi="Arial Narrow" w:cs="Arial"/>
                <w:b/>
                <w:bCs/>
              </w:rPr>
            </w:pPr>
            <w:r>
              <w:rPr>
                <w:rFonts w:ascii="Arial Narrow" w:hAnsi="Arial Narrow"/>
                <w:b/>
              </w:rPr>
              <w:t xml:space="preserve">Type of data </w:t>
            </w:r>
          </w:p>
          <w:p w14:paraId="4161E6B3" w14:textId="77777777" w:rsidR="00C65BE7" w:rsidRPr="00AA7B7A" w:rsidRDefault="00C65BE7" w:rsidP="00A71B66">
            <w:pPr>
              <w:jc w:val="both"/>
              <w:rPr>
                <w:rFonts w:ascii="Arial Narrow" w:hAnsi="Arial Narrow" w:cs="Arial"/>
                <w:i/>
              </w:rPr>
            </w:pPr>
            <w:r>
              <w:rPr>
                <w:rFonts w:ascii="Arial Narrow" w:hAnsi="Arial Narrow"/>
                <w:i/>
              </w:rPr>
              <w:t xml:space="preserve">What data will be processed, and how? Concrete steps </w:t>
            </w:r>
          </w:p>
        </w:tc>
        <w:tc>
          <w:tcPr>
            <w:tcW w:w="2909" w:type="dxa"/>
          </w:tcPr>
          <w:p w14:paraId="63DC2762" w14:textId="77777777" w:rsidR="00C65BE7" w:rsidRPr="00AA7B7A" w:rsidRDefault="00C65BE7" w:rsidP="00A71B66">
            <w:pPr>
              <w:jc w:val="both"/>
              <w:rPr>
                <w:rFonts w:ascii="Arial Narrow" w:hAnsi="Arial Narrow" w:cs="Arial"/>
                <w:b/>
                <w:bCs/>
              </w:rPr>
            </w:pPr>
            <w:bookmarkStart w:id="0" w:name="_GoBack"/>
            <w:r>
              <w:rPr>
                <w:rFonts w:ascii="Arial Narrow" w:hAnsi="Arial Narrow"/>
                <w:b/>
              </w:rPr>
              <w:t>Binding</w:t>
            </w:r>
          </w:p>
          <w:p w14:paraId="0FDFC9F3" w14:textId="77777777" w:rsidR="00C65BE7" w:rsidRPr="00AA7B7A" w:rsidRDefault="00C65BE7" w:rsidP="00A71B66">
            <w:pPr>
              <w:jc w:val="both"/>
              <w:rPr>
                <w:rFonts w:ascii="Arial Narrow" w:hAnsi="Arial Narrow" w:cs="Arial"/>
                <w:bCs/>
                <w:i/>
              </w:rPr>
            </w:pPr>
            <w:r>
              <w:rPr>
                <w:rFonts w:ascii="Arial Narrow" w:hAnsi="Arial Narrow"/>
                <w:i/>
              </w:rPr>
              <w:t>TOMs</w:t>
            </w:r>
            <w:bookmarkEnd w:id="0"/>
          </w:p>
        </w:tc>
        <w:tc>
          <w:tcPr>
            <w:tcW w:w="2049" w:type="dxa"/>
          </w:tcPr>
          <w:p w14:paraId="17531F9C" w14:textId="77777777" w:rsidR="00C65BE7" w:rsidRPr="00AA7B7A" w:rsidRDefault="00C65BE7" w:rsidP="00A71B66">
            <w:pPr>
              <w:jc w:val="both"/>
              <w:rPr>
                <w:rFonts w:ascii="Arial Narrow" w:hAnsi="Arial Narrow" w:cs="Arial"/>
                <w:b/>
                <w:bCs/>
              </w:rPr>
            </w:pPr>
            <w:r>
              <w:rPr>
                <w:rFonts w:ascii="Arial Narrow" w:hAnsi="Arial Narrow"/>
                <w:b/>
              </w:rPr>
              <w:t>Controller</w:t>
            </w:r>
          </w:p>
          <w:p w14:paraId="6AF05D37" w14:textId="77777777" w:rsidR="00C65BE7" w:rsidRPr="00AA7B7A" w:rsidRDefault="00C65BE7" w:rsidP="00A71B66">
            <w:pPr>
              <w:jc w:val="both"/>
              <w:rPr>
                <w:rFonts w:ascii="Arial Narrow" w:hAnsi="Arial Narrow" w:cs="Arial"/>
                <w:bCs/>
                <w:i/>
              </w:rPr>
            </w:pPr>
            <w:r>
              <w:rPr>
                <w:rFonts w:ascii="Arial Narrow" w:hAnsi="Arial Narrow"/>
                <w:i/>
              </w:rPr>
              <w:t>Responsible for data processing</w:t>
            </w:r>
          </w:p>
        </w:tc>
      </w:tr>
      <w:tr w:rsidR="00C65BE7" w:rsidRPr="00893AF4" w14:paraId="6B0A0ED6" w14:textId="77777777" w:rsidTr="00C65BE7">
        <w:tc>
          <w:tcPr>
            <w:tcW w:w="2085" w:type="dxa"/>
          </w:tcPr>
          <w:p w14:paraId="648188ED" w14:textId="77777777" w:rsidR="00C65BE7" w:rsidRPr="00AA7B7A" w:rsidRDefault="00C65BE7" w:rsidP="00A71B66">
            <w:pPr>
              <w:jc w:val="both"/>
              <w:rPr>
                <w:rFonts w:ascii="Arial Narrow" w:hAnsi="Arial Narrow" w:cs="Arial"/>
                <w:b/>
                <w:bCs/>
              </w:rPr>
            </w:pPr>
          </w:p>
        </w:tc>
        <w:tc>
          <w:tcPr>
            <w:tcW w:w="2020" w:type="dxa"/>
          </w:tcPr>
          <w:p w14:paraId="586EDFA3" w14:textId="77777777" w:rsidR="00C65BE7" w:rsidRPr="00AA7B7A" w:rsidRDefault="00C65BE7" w:rsidP="00A71B66">
            <w:pPr>
              <w:jc w:val="both"/>
              <w:rPr>
                <w:rFonts w:ascii="Arial Narrow" w:hAnsi="Arial Narrow" w:cs="Arial"/>
                <w:b/>
                <w:bCs/>
              </w:rPr>
            </w:pPr>
          </w:p>
        </w:tc>
        <w:tc>
          <w:tcPr>
            <w:tcW w:w="2909" w:type="dxa"/>
          </w:tcPr>
          <w:p w14:paraId="30864D80" w14:textId="77777777" w:rsidR="00C65BE7" w:rsidRPr="00AA7B7A" w:rsidRDefault="00C65BE7" w:rsidP="00A71B66">
            <w:pPr>
              <w:jc w:val="both"/>
              <w:rPr>
                <w:rFonts w:ascii="Arial Narrow" w:hAnsi="Arial Narrow" w:cs="Arial"/>
                <w:b/>
                <w:bCs/>
              </w:rPr>
            </w:pPr>
          </w:p>
        </w:tc>
        <w:tc>
          <w:tcPr>
            <w:tcW w:w="2049" w:type="dxa"/>
          </w:tcPr>
          <w:p w14:paraId="2B5806CF" w14:textId="77777777" w:rsidR="00C65BE7" w:rsidRPr="00AA7B7A" w:rsidRDefault="00C65BE7" w:rsidP="00A71B66">
            <w:pPr>
              <w:jc w:val="both"/>
              <w:rPr>
                <w:rFonts w:ascii="Arial Narrow" w:hAnsi="Arial Narrow" w:cs="Arial"/>
                <w:b/>
                <w:bCs/>
              </w:rPr>
            </w:pPr>
          </w:p>
        </w:tc>
      </w:tr>
    </w:tbl>
    <w:p w14:paraId="7BE80733" w14:textId="77777777" w:rsidR="007C7547" w:rsidRDefault="007C7547" w:rsidP="00AC710C">
      <w:pPr>
        <w:spacing w:after="0" w:line="240" w:lineRule="auto"/>
        <w:jc w:val="both"/>
        <w:rPr>
          <w:rFonts w:ascii="Arial" w:hAnsi="Arial" w:cs="Arial"/>
          <w:bCs/>
          <w:color w:val="000000"/>
        </w:rPr>
      </w:pPr>
    </w:p>
    <w:p w14:paraId="0F691941" w14:textId="77777777" w:rsidR="007C7547" w:rsidRPr="000919DE" w:rsidRDefault="007C7547" w:rsidP="000919DE">
      <w:pPr>
        <w:spacing w:before="240" w:after="0" w:line="240" w:lineRule="auto"/>
        <w:jc w:val="both"/>
        <w:rPr>
          <w:rFonts w:ascii="Arial" w:hAnsi="Arial" w:cs="Arial"/>
          <w:b/>
          <w:color w:val="0070C0"/>
        </w:rPr>
      </w:pPr>
      <w:r>
        <w:rPr>
          <w:rFonts w:ascii="Arial" w:hAnsi="Arial"/>
          <w:b/>
          <w:color w:val="0070C0"/>
        </w:rPr>
        <w:t>What does this mean for data subjects?</w:t>
      </w:r>
    </w:p>
    <w:p w14:paraId="4DFA917A" w14:textId="77777777" w:rsidR="0041565E" w:rsidRDefault="00271E75" w:rsidP="000919DE">
      <w:pPr>
        <w:spacing w:before="240" w:after="0" w:line="240" w:lineRule="auto"/>
        <w:jc w:val="both"/>
        <w:rPr>
          <w:rFonts w:ascii="Arial" w:hAnsi="Arial" w:cs="Arial"/>
          <w:bCs/>
          <w:color w:val="000000"/>
        </w:rPr>
      </w:pPr>
      <w:r>
        <w:rPr>
          <w:rFonts w:ascii="Arial" w:hAnsi="Arial"/>
          <w:color w:val="000000"/>
        </w:rPr>
        <w:t>Even where the parties act as joint controllers, they will fulfil the data protection requirements in accordance with their respective responsibilities for the specific stages of processing as follows:</w:t>
      </w:r>
    </w:p>
    <w:p w14:paraId="20ABDE5F" w14:textId="77777777" w:rsidR="00271E75" w:rsidRPr="000919DE" w:rsidRDefault="0041565E" w:rsidP="000919DE">
      <w:pPr>
        <w:pStyle w:val="Listenabsatz"/>
        <w:numPr>
          <w:ilvl w:val="0"/>
          <w:numId w:val="1"/>
        </w:numPr>
        <w:spacing w:before="240" w:after="120" w:line="240" w:lineRule="auto"/>
        <w:ind w:left="714" w:hanging="357"/>
        <w:contextualSpacing w:val="0"/>
        <w:jc w:val="both"/>
        <w:rPr>
          <w:rFonts w:ascii="Arial" w:hAnsi="Arial" w:cs="Arial"/>
          <w:bCs/>
          <w:color w:val="000000"/>
        </w:rPr>
      </w:pPr>
      <w:r>
        <w:rPr>
          <w:rFonts w:ascii="Arial" w:hAnsi="Arial"/>
        </w:rPr>
        <w:t xml:space="preserve">Where the parties act as joint controllers, </w:t>
      </w:r>
    </w:p>
    <w:p w14:paraId="7C7EAF4F" w14:textId="77777777" w:rsidR="0041565E" w:rsidRDefault="00217135" w:rsidP="00271E75">
      <w:pPr>
        <w:pStyle w:val="Listenabsatz"/>
        <w:numPr>
          <w:ilvl w:val="0"/>
          <w:numId w:val="2"/>
        </w:numPr>
        <w:spacing w:after="0" w:line="240" w:lineRule="auto"/>
        <w:ind w:left="1134"/>
        <w:jc w:val="both"/>
        <w:rPr>
          <w:rFonts w:ascii="Arial" w:hAnsi="Arial" w:cs="Arial"/>
          <w:bCs/>
          <w:color w:val="000000"/>
        </w:rPr>
      </w:pPr>
      <w:r>
        <w:rPr>
          <w:rFonts w:ascii="Arial" w:hAnsi="Arial"/>
          <w:color w:val="FF0000"/>
        </w:rPr>
        <w:t xml:space="preserve">Party 1 </w:t>
      </w:r>
      <w:r>
        <w:rPr>
          <w:rFonts w:ascii="Arial" w:hAnsi="Arial"/>
        </w:rPr>
        <w:t xml:space="preserve">will be responsible for the processing of personal data at </w:t>
      </w:r>
      <w:r>
        <w:rPr>
          <w:rFonts w:ascii="Arial" w:hAnsi="Arial"/>
          <w:color w:val="FF0000"/>
        </w:rPr>
        <w:t xml:space="preserve">Stage xxx </w:t>
      </w:r>
      <w:r>
        <w:rPr>
          <w:rFonts w:ascii="Arial" w:hAnsi="Arial"/>
        </w:rPr>
        <w:t>and</w:t>
      </w:r>
    </w:p>
    <w:p w14:paraId="231870DF" w14:textId="77777777" w:rsidR="0041565E" w:rsidRDefault="0041565E" w:rsidP="00271E75">
      <w:pPr>
        <w:pStyle w:val="Listenabsatz"/>
        <w:spacing w:after="0" w:line="240" w:lineRule="auto"/>
        <w:ind w:left="1134"/>
        <w:jc w:val="both"/>
        <w:rPr>
          <w:rFonts w:ascii="Arial" w:hAnsi="Arial" w:cs="Arial"/>
          <w:bCs/>
          <w:color w:val="000000"/>
        </w:rPr>
      </w:pPr>
    </w:p>
    <w:p w14:paraId="7BAEE88F" w14:textId="77777777" w:rsidR="000919DE" w:rsidRPr="000919DE" w:rsidRDefault="00217135" w:rsidP="00AC710C">
      <w:pPr>
        <w:pStyle w:val="Listenabsatz"/>
        <w:numPr>
          <w:ilvl w:val="0"/>
          <w:numId w:val="2"/>
        </w:numPr>
        <w:spacing w:after="0" w:line="240" w:lineRule="auto"/>
        <w:ind w:left="1134"/>
        <w:jc w:val="both"/>
        <w:rPr>
          <w:rFonts w:ascii="Arial" w:eastAsia="Times New Roman" w:hAnsi="Arial" w:cs="Arial"/>
        </w:rPr>
      </w:pPr>
      <w:r>
        <w:rPr>
          <w:rFonts w:ascii="Arial" w:hAnsi="Arial"/>
          <w:color w:val="FF0000"/>
        </w:rPr>
        <w:t xml:space="preserve">Party 2 </w:t>
      </w:r>
      <w:r>
        <w:rPr>
          <w:rFonts w:ascii="Arial" w:hAnsi="Arial"/>
          <w:color w:val="000000"/>
        </w:rPr>
        <w:t xml:space="preserve">will be responsible for the processing of personal data at </w:t>
      </w:r>
      <w:r>
        <w:rPr>
          <w:rFonts w:ascii="Arial" w:hAnsi="Arial"/>
          <w:color w:val="FF0000"/>
        </w:rPr>
        <w:t xml:space="preserve">Stage </w:t>
      </w:r>
      <w:proofErr w:type="spellStart"/>
      <w:r>
        <w:rPr>
          <w:rFonts w:ascii="Arial" w:hAnsi="Arial"/>
          <w:color w:val="FF0000"/>
        </w:rPr>
        <w:t>yyy</w:t>
      </w:r>
      <w:proofErr w:type="spellEnd"/>
      <w:r>
        <w:rPr>
          <w:rFonts w:ascii="Arial" w:hAnsi="Arial"/>
        </w:rPr>
        <w:t xml:space="preserve">. </w:t>
      </w:r>
    </w:p>
    <w:p w14:paraId="001CB615" w14:textId="6E0285EC" w:rsidR="00EF715D" w:rsidRPr="00EF715D" w:rsidRDefault="00217135" w:rsidP="00EF715D">
      <w:pPr>
        <w:pStyle w:val="Listenabsatz"/>
        <w:numPr>
          <w:ilvl w:val="0"/>
          <w:numId w:val="1"/>
        </w:numPr>
        <w:spacing w:before="240" w:after="120" w:line="240" w:lineRule="auto"/>
        <w:ind w:left="714" w:hanging="357"/>
        <w:contextualSpacing w:val="0"/>
        <w:jc w:val="both"/>
        <w:rPr>
          <w:rFonts w:ascii="Arial" w:hAnsi="Arial" w:cs="Arial"/>
        </w:rPr>
      </w:pPr>
      <w:r>
        <w:rPr>
          <w:rFonts w:ascii="Arial" w:hAnsi="Arial"/>
          <w:color w:val="FF0000"/>
        </w:rPr>
        <w:t xml:space="preserve">Party 1 </w:t>
      </w:r>
      <w:r>
        <w:rPr>
          <w:rFonts w:ascii="Arial" w:hAnsi="Arial"/>
        </w:rPr>
        <w:t xml:space="preserve">and </w:t>
      </w:r>
      <w:r>
        <w:rPr>
          <w:rFonts w:ascii="Arial" w:hAnsi="Arial"/>
          <w:color w:val="FF0000"/>
        </w:rPr>
        <w:t xml:space="preserve">Party 2 </w:t>
      </w:r>
      <w:r>
        <w:rPr>
          <w:rFonts w:ascii="Arial" w:hAnsi="Arial"/>
          <w:i/>
          <w:highlight w:val="lightGray"/>
        </w:rPr>
        <w:t xml:space="preserve">[alternatively: </w:t>
      </w:r>
      <w:r>
        <w:rPr>
          <w:rFonts w:ascii="Arial" w:hAnsi="Arial"/>
          <w:i/>
          <w:color w:val="FF0000"/>
          <w:highlight w:val="lightGray"/>
        </w:rPr>
        <w:t>Party 1</w:t>
      </w:r>
      <w:r>
        <w:rPr>
          <w:rFonts w:ascii="Arial" w:hAnsi="Arial"/>
          <w:i/>
          <w:highlight w:val="lightGray"/>
        </w:rPr>
        <w:t xml:space="preserve"> or </w:t>
      </w:r>
      <w:r>
        <w:rPr>
          <w:rFonts w:ascii="Arial" w:hAnsi="Arial"/>
          <w:i/>
          <w:color w:val="FF0000"/>
          <w:highlight w:val="lightGray"/>
        </w:rPr>
        <w:t>Party 2</w:t>
      </w:r>
      <w:r>
        <w:rPr>
          <w:rFonts w:ascii="Arial" w:hAnsi="Arial"/>
          <w:i/>
          <w:highlight w:val="lightGray"/>
        </w:rPr>
        <w:t>]</w:t>
      </w:r>
      <w:r>
        <w:rPr>
          <w:rFonts w:ascii="Arial" w:hAnsi="Arial"/>
          <w:color w:val="FF0000"/>
        </w:rPr>
        <w:t xml:space="preserve"> </w:t>
      </w:r>
      <w:r>
        <w:rPr>
          <w:rFonts w:ascii="Arial" w:hAnsi="Arial"/>
        </w:rPr>
        <w:t>will provide any information required under articles 13 and 14 of the GDPR to the data subject in a concise, transparent, intelligible and easily accessible form, using clear and plain language and free of charge. For this purpose, each party will provide the other party with all necessary information from its area of activity.</w:t>
      </w:r>
    </w:p>
    <w:p w14:paraId="6881E81E" w14:textId="77777777" w:rsidR="000C4CA8" w:rsidRPr="000919DE" w:rsidRDefault="00271E75" w:rsidP="00EF715D">
      <w:pPr>
        <w:pStyle w:val="Listenabsatz"/>
        <w:numPr>
          <w:ilvl w:val="0"/>
          <w:numId w:val="1"/>
        </w:numPr>
        <w:spacing w:before="480" w:after="120" w:line="240" w:lineRule="auto"/>
        <w:ind w:left="714" w:hanging="357"/>
        <w:contextualSpacing w:val="0"/>
        <w:jc w:val="both"/>
        <w:rPr>
          <w:rFonts w:ascii="Arial" w:hAnsi="Arial" w:cs="Arial"/>
        </w:rPr>
      </w:pPr>
      <w:r>
        <w:rPr>
          <w:rFonts w:ascii="Arial" w:hAnsi="Arial"/>
        </w:rPr>
        <w:t>The parties will immediately inform each other of any request made by data subjects. They will provide each other with all the information necessary to fulfil access requests.</w:t>
      </w:r>
    </w:p>
    <w:p w14:paraId="5AB2B259" w14:textId="77777777" w:rsidR="001F7BAA" w:rsidRPr="000919DE" w:rsidRDefault="00271E75" w:rsidP="000919DE">
      <w:pPr>
        <w:pStyle w:val="Listenabsatz"/>
        <w:numPr>
          <w:ilvl w:val="0"/>
          <w:numId w:val="1"/>
        </w:numPr>
        <w:spacing w:before="240" w:after="120" w:line="240" w:lineRule="auto"/>
        <w:ind w:left="714" w:hanging="357"/>
        <w:contextualSpacing w:val="0"/>
        <w:jc w:val="both"/>
        <w:rPr>
          <w:rFonts w:ascii="Arial" w:hAnsi="Arial" w:cs="Arial"/>
        </w:rPr>
      </w:pPr>
      <w:r>
        <w:rPr>
          <w:rFonts w:ascii="Arial" w:hAnsi="Arial"/>
        </w:rPr>
        <w:lastRenderedPageBreak/>
        <w:t xml:space="preserve">Data protection rights may be invoked against </w:t>
      </w:r>
      <w:r>
        <w:rPr>
          <w:rFonts w:ascii="Arial" w:hAnsi="Arial"/>
          <w:color w:val="FF0000"/>
        </w:rPr>
        <w:t>Party 1</w:t>
      </w:r>
      <w:r>
        <w:rPr>
          <w:rFonts w:ascii="Arial" w:hAnsi="Arial"/>
        </w:rPr>
        <w:t xml:space="preserve"> and </w:t>
      </w:r>
      <w:r>
        <w:rPr>
          <w:rFonts w:ascii="Arial" w:hAnsi="Arial"/>
          <w:color w:val="FF0000"/>
        </w:rPr>
        <w:t xml:space="preserve">Party 2 </w:t>
      </w:r>
      <w:r>
        <w:rPr>
          <w:rFonts w:ascii="Arial" w:hAnsi="Arial"/>
          <w:i/>
          <w:highlight w:val="lightGray"/>
        </w:rPr>
        <w:t>[alternatively: specify the relevant contact point –]</w:t>
      </w:r>
      <w:r>
        <w:rPr>
          <w:rFonts w:ascii="Arial" w:hAnsi="Arial"/>
          <w:i/>
        </w:rPr>
        <w:t>.</w:t>
      </w:r>
      <w:r>
        <w:rPr>
          <w:rFonts w:ascii="Arial" w:hAnsi="Arial"/>
        </w:rPr>
        <w:t xml:space="preserve"> In principle, data subjects will receive the information from the entity they have contacted to assert their rights </w:t>
      </w:r>
      <w:r>
        <w:rPr>
          <w:rFonts w:ascii="Arial" w:hAnsi="Arial"/>
          <w:i/>
          <w:highlight w:val="lightGray"/>
        </w:rPr>
        <w:t>[alternatively: specify the relevant entity providing the information]</w:t>
      </w:r>
      <w:r>
        <w:rPr>
          <w:rFonts w:ascii="Arial" w:hAnsi="Arial"/>
        </w:rPr>
        <w:t>.</w:t>
      </w:r>
    </w:p>
    <w:p w14:paraId="1470D454" w14:textId="77777777" w:rsidR="0041565E" w:rsidRDefault="0041565E" w:rsidP="0041565E">
      <w:pPr>
        <w:spacing w:after="0" w:line="240" w:lineRule="auto"/>
        <w:rPr>
          <w:rFonts w:ascii="Arial" w:hAnsi="Arial" w:cs="Arial"/>
          <w:u w:val="single"/>
        </w:rPr>
      </w:pPr>
    </w:p>
    <w:p w14:paraId="478E65BE" w14:textId="77777777" w:rsidR="0032668D" w:rsidRPr="007C7547" w:rsidRDefault="0032668D" w:rsidP="0032668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i/>
          <w:u w:val="single"/>
        </w:rPr>
      </w:pPr>
      <w:r>
        <w:rPr>
          <w:rFonts w:ascii="Arial" w:hAnsi="Arial"/>
          <w:i/>
          <w:highlight w:val="lightGray"/>
          <w:u w:val="single"/>
        </w:rPr>
        <w:t>Please note:</w:t>
      </w:r>
      <w:r>
        <w:rPr>
          <w:rFonts w:ascii="Arial" w:hAnsi="Arial"/>
          <w:i/>
          <w:highlight w:val="lightGray"/>
        </w:rPr>
        <w:t xml:space="preserve"> Even where a single contact point is specified, the data subject may contact both parties</w:t>
      </w:r>
      <w:r>
        <w:rPr>
          <w:rFonts w:ascii="Arial" w:hAnsi="Arial"/>
          <w:i/>
        </w:rPr>
        <w:t>. This must not result in any disadvantages for the assertion of their rights.</w:t>
      </w:r>
    </w:p>
    <w:p w14:paraId="3CE211F3" w14:textId="77777777" w:rsidR="0041565E" w:rsidRDefault="0041565E" w:rsidP="0041565E">
      <w:pPr>
        <w:spacing w:after="0" w:line="240" w:lineRule="auto"/>
        <w:rPr>
          <w:rFonts w:ascii="Arial" w:hAnsi="Arial" w:cs="Arial"/>
          <w:u w:val="single"/>
        </w:rPr>
      </w:pPr>
    </w:p>
    <w:p w14:paraId="47D76EA5" w14:textId="091FA075" w:rsidR="000919DE" w:rsidRPr="00026CD0" w:rsidRDefault="003017FE" w:rsidP="000919DE">
      <w:pPr>
        <w:spacing w:before="2880" w:after="120"/>
        <w:ind w:left="3969"/>
        <w:jc w:val="both"/>
        <w:rPr>
          <w:rFonts w:ascii="Arial" w:hAnsi="Arial" w:cs="Arial"/>
          <w:i/>
          <w:iCs/>
        </w:rPr>
      </w:pPr>
      <w:r w:rsidRPr="00026CD0">
        <w:rPr>
          <w:rFonts w:ascii="Arial" w:hAnsi="Arial"/>
          <w:i/>
        </w:rPr>
        <w:t>Version</w:t>
      </w:r>
      <w:r w:rsidR="000919DE" w:rsidRPr="00026CD0">
        <w:rPr>
          <w:rFonts w:ascii="Arial" w:hAnsi="Arial"/>
          <w:i/>
        </w:rPr>
        <w:t>: March 2022</w:t>
      </w:r>
    </w:p>
    <w:p w14:paraId="2EBC81D7" w14:textId="4A9EA741" w:rsidR="000919DE" w:rsidRPr="009E0F87" w:rsidRDefault="000919DE" w:rsidP="009A04F3">
      <w:pPr>
        <w:spacing w:before="120" w:after="120"/>
        <w:ind w:left="3969"/>
        <w:rPr>
          <w:rFonts w:ascii="Arial" w:hAnsi="Arial" w:cs="Arial"/>
          <w:i/>
          <w:iCs/>
          <w:sz w:val="18"/>
          <w:szCs w:val="18"/>
        </w:rPr>
      </w:pPr>
      <w:r w:rsidRPr="00026CD0">
        <w:rPr>
          <w:rFonts w:ascii="Arial" w:hAnsi="Arial"/>
          <w:i/>
          <w:sz w:val="18"/>
        </w:rPr>
        <w:t xml:space="preserve">Created by the </w:t>
      </w:r>
      <w:r w:rsidR="009A04F3" w:rsidRPr="00026CD0">
        <w:rPr>
          <w:rFonts w:ascii="Arial" w:hAnsi="Arial"/>
          <w:i/>
          <w:sz w:val="18"/>
        </w:rPr>
        <w:t xml:space="preserve">NRW </w:t>
      </w:r>
      <w:r w:rsidR="00F12BAC" w:rsidRPr="00026CD0">
        <w:rPr>
          <w:rFonts w:ascii="Arial" w:hAnsi="Arial"/>
          <w:i/>
          <w:sz w:val="18"/>
        </w:rPr>
        <w:t>U</w:t>
      </w:r>
      <w:r w:rsidR="009A04F3" w:rsidRPr="00026CD0">
        <w:rPr>
          <w:rFonts w:ascii="Arial" w:hAnsi="Arial"/>
          <w:i/>
          <w:sz w:val="18"/>
        </w:rPr>
        <w:t>niversities</w:t>
      </w:r>
      <w:r w:rsidR="00F12BAC" w:rsidRPr="00026CD0">
        <w:rPr>
          <w:rFonts w:ascii="Arial" w:hAnsi="Arial"/>
          <w:i/>
          <w:sz w:val="18"/>
        </w:rPr>
        <w:t xml:space="preserve"> Data Protection Officers project group</w:t>
      </w:r>
    </w:p>
    <w:p w14:paraId="10CDDD0A" w14:textId="77777777" w:rsidR="000919DE" w:rsidRPr="009E0F87" w:rsidRDefault="000919DE" w:rsidP="000919DE">
      <w:pPr>
        <w:spacing w:before="120" w:after="120"/>
        <w:ind w:left="3969"/>
        <w:rPr>
          <w:rFonts w:ascii="Arial" w:hAnsi="Arial" w:cs="Arial"/>
          <w:i/>
          <w:iCs/>
          <w:sz w:val="18"/>
          <w:szCs w:val="18"/>
        </w:rPr>
      </w:pPr>
      <w:r>
        <w:rPr>
          <w:rFonts w:ascii="Arial" w:hAnsi="Arial"/>
          <w:i/>
          <w:sz w:val="18"/>
        </w:rPr>
        <w:t xml:space="preserve">Dr Thilo Groll, LL.M/ Dortmund University of Applied Sciences and Arts, </w:t>
      </w:r>
      <w:hyperlink r:id="rId7" w:history="1">
        <w:r>
          <w:rPr>
            <w:rFonts w:ascii="Arial" w:hAnsi="Arial"/>
            <w:i/>
            <w:sz w:val="18"/>
          </w:rPr>
          <w:t>datenschutz@fh-dortmund.de</w:t>
        </w:r>
      </w:hyperlink>
    </w:p>
    <w:p w14:paraId="44A58A7F" w14:textId="77777777" w:rsidR="000919DE" w:rsidRPr="00BE4D61" w:rsidRDefault="000919DE" w:rsidP="000919DE">
      <w:pPr>
        <w:spacing w:before="120" w:after="120"/>
        <w:ind w:left="3969"/>
        <w:rPr>
          <w:rFonts w:ascii="Arial" w:hAnsi="Arial" w:cs="Arial"/>
          <w:i/>
          <w:iCs/>
          <w:sz w:val="18"/>
          <w:szCs w:val="18"/>
          <w:lang w:val="de-DE"/>
        </w:rPr>
      </w:pPr>
      <w:r w:rsidRPr="00BE4D61">
        <w:rPr>
          <w:rFonts w:ascii="Arial" w:hAnsi="Arial"/>
          <w:i/>
          <w:sz w:val="18"/>
          <w:lang w:val="de-DE"/>
        </w:rPr>
        <w:t>Dr Ursula Hilgers/ Heinrich Heine University Düsseldorf, datenschutz@hhu.de</w:t>
      </w:r>
    </w:p>
    <w:p w14:paraId="1DBEF704" w14:textId="77777777" w:rsidR="000919DE" w:rsidRPr="009E0F87" w:rsidRDefault="000919DE" w:rsidP="000919DE">
      <w:pPr>
        <w:spacing w:before="120" w:after="120"/>
        <w:ind w:left="3969"/>
        <w:rPr>
          <w:rFonts w:ascii="Arial" w:hAnsi="Arial" w:cs="Arial"/>
          <w:i/>
          <w:iCs/>
          <w:sz w:val="18"/>
          <w:szCs w:val="18"/>
        </w:rPr>
      </w:pPr>
      <w:r>
        <w:rPr>
          <w:rFonts w:ascii="Arial" w:hAnsi="Arial"/>
          <w:i/>
          <w:sz w:val="18"/>
        </w:rPr>
        <w:t>Christian Schumann/ University of Siegen, datenschutzbeauftragter@uni-siegen.de</w:t>
      </w:r>
    </w:p>
    <w:p w14:paraId="421715DE" w14:textId="77777777" w:rsidR="000919DE" w:rsidRPr="009E0F87" w:rsidRDefault="000919DE" w:rsidP="000919DE">
      <w:pPr>
        <w:spacing w:before="120" w:after="120"/>
        <w:ind w:left="3969"/>
        <w:rPr>
          <w:rFonts w:ascii="Arial" w:hAnsi="Arial" w:cs="Arial"/>
          <w:i/>
          <w:iCs/>
          <w:sz w:val="18"/>
          <w:szCs w:val="18"/>
        </w:rPr>
      </w:pPr>
      <w:r>
        <w:rPr>
          <w:rFonts w:ascii="Arial" w:hAnsi="Arial"/>
          <w:i/>
          <w:sz w:val="18"/>
        </w:rPr>
        <w:t xml:space="preserve">Sabine Sonneborn/ Ruhr University Bochum, </w:t>
      </w:r>
      <w:hyperlink r:id="rId8" w:history="1">
        <w:r>
          <w:rPr>
            <w:rFonts w:ascii="Arial" w:hAnsi="Arial"/>
            <w:i/>
            <w:sz w:val="18"/>
          </w:rPr>
          <w:t>dsb@rub.de</w:t>
        </w:r>
      </w:hyperlink>
    </w:p>
    <w:p w14:paraId="0AAEAF15" w14:textId="77777777" w:rsidR="000919DE" w:rsidRPr="009E0F87" w:rsidRDefault="000919DE" w:rsidP="000919DE">
      <w:pPr>
        <w:spacing w:before="120" w:after="120"/>
        <w:ind w:left="3969"/>
        <w:rPr>
          <w:rFonts w:ascii="Arial" w:hAnsi="Arial" w:cs="Arial"/>
          <w:i/>
          <w:iCs/>
          <w:sz w:val="18"/>
          <w:szCs w:val="18"/>
        </w:rPr>
      </w:pPr>
      <w:r>
        <w:rPr>
          <w:rFonts w:ascii="Arial" w:hAnsi="Arial"/>
          <w:i/>
          <w:sz w:val="18"/>
        </w:rPr>
        <w:t xml:space="preserve">Dr Britta Weber/ University of Health Sciences, Bochum, </w:t>
      </w:r>
      <w:hyperlink r:id="rId9" w:history="1">
        <w:r>
          <w:rPr>
            <w:rFonts w:ascii="Arial" w:hAnsi="Arial"/>
            <w:i/>
            <w:sz w:val="18"/>
          </w:rPr>
          <w:t>dsb@hs-gesundheit</w:t>
        </w:r>
      </w:hyperlink>
      <w:r>
        <w:rPr>
          <w:rFonts w:ascii="Arial" w:hAnsi="Arial"/>
          <w:i/>
          <w:sz w:val="18"/>
        </w:rPr>
        <w:t>.de</w:t>
      </w:r>
    </w:p>
    <w:p w14:paraId="6A7F6C67" w14:textId="77777777" w:rsidR="00A639A8" w:rsidRPr="000919DE" w:rsidRDefault="000919DE" w:rsidP="000919DE">
      <w:pPr>
        <w:spacing w:before="120" w:after="120"/>
        <w:ind w:left="3969"/>
        <w:rPr>
          <w:rFonts w:ascii="Arial" w:hAnsi="Arial" w:cs="Arial"/>
          <w:i/>
          <w:iCs/>
          <w:sz w:val="18"/>
          <w:szCs w:val="18"/>
        </w:rPr>
      </w:pPr>
      <w:r>
        <w:rPr>
          <w:rFonts w:ascii="Arial" w:hAnsi="Arial"/>
          <w:i/>
          <w:sz w:val="18"/>
        </w:rPr>
        <w:t>Dr Eva-Maria Wicker, LL.M/ Paderborn University, datenschutz@upb.de</w:t>
      </w:r>
    </w:p>
    <w:sectPr w:rsidR="00A639A8" w:rsidRPr="000919DE" w:rsidSect="00EF715D">
      <w:headerReference w:type="default" r:id="rId10"/>
      <w:footerReference w:type="default" r:id="rId11"/>
      <w:pgSz w:w="11906" w:h="16838"/>
      <w:pgMar w:top="16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50EE7" w14:textId="77777777" w:rsidR="004E57E2" w:rsidRDefault="004E57E2" w:rsidP="00F310B8">
      <w:pPr>
        <w:spacing w:after="0" w:line="240" w:lineRule="auto"/>
      </w:pPr>
      <w:r>
        <w:separator/>
      </w:r>
    </w:p>
  </w:endnote>
  <w:endnote w:type="continuationSeparator" w:id="0">
    <w:p w14:paraId="0C7850F0" w14:textId="77777777" w:rsidR="004E57E2" w:rsidRDefault="004E57E2" w:rsidP="00F3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204105"/>
      <w:docPartObj>
        <w:docPartGallery w:val="Page Numbers (Bottom of Page)"/>
        <w:docPartUnique/>
      </w:docPartObj>
    </w:sdtPr>
    <w:sdtEndPr/>
    <w:sdtContent>
      <w:p w14:paraId="69B01177" w14:textId="29265D9F" w:rsidR="00F310B8" w:rsidRDefault="00F310B8">
        <w:pPr>
          <w:pStyle w:val="Fuzeile"/>
          <w:jc w:val="center"/>
        </w:pPr>
        <w:r>
          <w:fldChar w:fldCharType="begin"/>
        </w:r>
        <w:r>
          <w:instrText>PAGE   \* MERGEFORMAT</w:instrText>
        </w:r>
        <w:r>
          <w:fldChar w:fldCharType="separate"/>
        </w:r>
        <w:r w:rsidR="001811BF">
          <w:rPr>
            <w:noProof/>
          </w:rPr>
          <w:t>2</w:t>
        </w:r>
        <w:r>
          <w:fldChar w:fldCharType="end"/>
        </w:r>
      </w:p>
    </w:sdtContent>
  </w:sdt>
  <w:p w14:paraId="229AE750" w14:textId="77777777" w:rsidR="00F310B8" w:rsidRDefault="00F310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17307" w14:textId="77777777" w:rsidR="004E57E2" w:rsidRDefault="004E57E2" w:rsidP="00F310B8">
      <w:pPr>
        <w:spacing w:after="0" w:line="240" w:lineRule="auto"/>
      </w:pPr>
      <w:r>
        <w:separator/>
      </w:r>
    </w:p>
  </w:footnote>
  <w:footnote w:type="continuationSeparator" w:id="0">
    <w:p w14:paraId="3C19043B" w14:textId="77777777" w:rsidR="004E57E2" w:rsidRDefault="004E57E2" w:rsidP="00F31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7780C" w14:textId="55038100" w:rsidR="00BF713A" w:rsidRPr="00BF713A" w:rsidRDefault="00FA6C32" w:rsidP="00BF713A">
    <w:pPr>
      <w:pStyle w:val="Kopfzeile"/>
      <w:jc w:val="center"/>
      <w:rPr>
        <w:i/>
        <w:sz w:val="18"/>
      </w:rPr>
    </w:pPr>
    <w:r>
      <w:rPr>
        <w:i/>
        <w:noProof/>
        <w:sz w:val="20"/>
        <w:lang w:val="de-DE"/>
      </w:rPr>
      <mc:AlternateContent>
        <mc:Choice Requires="wps">
          <w:drawing>
            <wp:anchor distT="0" distB="0" distL="114300" distR="114300" simplePos="0" relativeHeight="251659264" behindDoc="0" locked="0" layoutInCell="1" allowOverlap="1" wp14:anchorId="5D7E015F" wp14:editId="46078FAD">
              <wp:simplePos x="0" y="0"/>
              <wp:positionH relativeFrom="column">
                <wp:posOffset>4967604</wp:posOffset>
              </wp:positionH>
              <wp:positionV relativeFrom="paragraph">
                <wp:posOffset>-154305</wp:posOffset>
              </wp:positionV>
              <wp:extent cx="1495425" cy="581025"/>
              <wp:effectExtent l="0" t="0" r="28575" b="28575"/>
              <wp:wrapNone/>
              <wp:docPr id="4" name="Rechteck 4"/>
              <wp:cNvGraphicFramePr/>
              <a:graphic xmlns:a="http://schemas.openxmlformats.org/drawingml/2006/main">
                <a:graphicData uri="http://schemas.microsoft.com/office/word/2010/wordprocessingShape">
                  <wps:wsp>
                    <wps:cNvSpPr/>
                    <wps:spPr>
                      <a:xfrm>
                        <a:off x="0" y="0"/>
                        <a:ext cx="1495425" cy="581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1FAFF3" w14:textId="77777777" w:rsidR="00FA6C32" w:rsidRDefault="00FA6C32" w:rsidP="00FA6C32">
                          <w:pPr>
                            <w:jc w:val="center"/>
                          </w:pPr>
                          <w:r>
                            <w:t>f</w:t>
                          </w:r>
                          <w:r>
                            <w:rPr>
                              <w:noProof/>
                              <w:lang w:val="de-DE"/>
                            </w:rPr>
                            <w:drawing>
                              <wp:inline distT="0" distB="0" distL="0" distR="0" wp14:anchorId="162CA1C1" wp14:editId="49463949">
                                <wp:extent cx="1195705" cy="419735"/>
                                <wp:effectExtent l="0" t="0" r="4445" b="0"/>
                                <wp:docPr id="5" name="Grafik 9" descr="Creative Commons Lizenz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reative Commons Lizenz Zero"/>
                                        <pic:cNvPicPr/>
                                      </pic:nvPicPr>
                                      <pic:blipFill>
                                        <a:blip r:embed="rId1"/>
                                        <a:stretch>
                                          <a:fillRect/>
                                        </a:stretch>
                                      </pic:blipFill>
                                      <pic:spPr>
                                        <a:xfrm>
                                          <a:off x="0" y="0"/>
                                          <a:ext cx="1195705" cy="4197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E015F" id="Rechteck 4" o:spid="_x0000_s1026" style="position:absolute;left:0;text-align:left;margin-left:391.15pt;margin-top:-12.15pt;width:117.7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" fillcolor="white [3212]" strokecolor="white [3212]" strokeweight="2pt">
              <v:textbox>
                <w:txbxContent>
                  <w:p w14:paraId="2B1FAFF3" w14:textId="77777777" w:rsidR="00FA6C32" w:rsidRDefault="00FA6C32" w:rsidP="00FA6C32">
                    <w:pPr>
                      <w:jc w:val="center"/>
                    </w:pPr>
                    <w:r>
                      <w:t>f</w:t>
                    </w:r>
                    <w:r>
                      <w:rPr>
                        <w:noProof/>
                        <w:lang w:val="de-DE"/>
                      </w:rPr>
                      <w:drawing>
                        <wp:inline distT="0" distB="0" distL="0" distR="0" wp14:anchorId="162CA1C1" wp14:editId="49463949">
                          <wp:extent cx="1195705" cy="419735"/>
                          <wp:effectExtent l="0" t="0" r="4445" b="0"/>
                          <wp:docPr id="5" name="Grafik 9" descr="Creative Commons Lizenz Z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reative Commons Lizenz Zero"/>
                                  <pic:cNvPicPr/>
                                </pic:nvPicPr>
                                <pic:blipFill>
                                  <a:blip r:embed="rId1"/>
                                  <a:stretch>
                                    <a:fillRect/>
                                  </a:stretch>
                                </pic:blipFill>
                                <pic:spPr>
                                  <a:xfrm>
                                    <a:off x="0" y="0"/>
                                    <a:ext cx="1195705" cy="419735"/>
                                  </a:xfrm>
                                  <a:prstGeom prst="rect">
                                    <a:avLst/>
                                  </a:prstGeom>
                                </pic:spPr>
                              </pic:pic>
                            </a:graphicData>
                          </a:graphic>
                        </wp:inline>
                      </w:drawing>
                    </w:r>
                  </w:p>
                </w:txbxContent>
              </v:textbox>
            </v:rect>
          </w:pict>
        </mc:Fallback>
      </mc:AlternateContent>
    </w:r>
    <w:r>
      <w:rPr>
        <w:i/>
        <w:sz w:val="20"/>
      </w:rPr>
      <w:t>Template information sheet: Joint controllership Article 26 GDPR</w:t>
    </w:r>
  </w:p>
  <w:p w14:paraId="27EE693D" w14:textId="065CB9A4" w:rsidR="00FA6C32" w:rsidRPr="00EF715D" w:rsidRDefault="00E45804" w:rsidP="00BF713A">
    <w:pPr>
      <w:pStyle w:val="Kopfzeile"/>
      <w:jc w:val="center"/>
      <w:rPr>
        <w:i/>
        <w:iCs/>
        <w:sz w:val="18"/>
        <w:szCs w:val="18"/>
      </w:rPr>
    </w:pPr>
    <w:r w:rsidRPr="00026CD0">
      <w:rPr>
        <w:i/>
        <w:sz w:val="18"/>
      </w:rPr>
      <w:t>NRW</w:t>
    </w:r>
    <w:r w:rsidR="009C4142" w:rsidRPr="00026CD0">
      <w:rPr>
        <w:i/>
        <w:sz w:val="18"/>
      </w:rPr>
      <w:t xml:space="preserve"> </w:t>
    </w:r>
    <w:r w:rsidRPr="00026CD0">
      <w:rPr>
        <w:i/>
        <w:sz w:val="18"/>
      </w:rPr>
      <w:t xml:space="preserve">Universities Data Protection Officers 2021 </w:t>
    </w:r>
    <w:r w:rsidR="00F12BAC" w:rsidRPr="00026CD0">
      <w:rPr>
        <w:i/>
        <w:sz w:val="18"/>
      </w:rPr>
      <w:t>p</w:t>
    </w:r>
    <w:r w:rsidRPr="00026CD0">
      <w:rPr>
        <w:i/>
        <w:sz w:val="18"/>
      </w:rPr>
      <w:t xml:space="preserve">roject </w:t>
    </w:r>
    <w:r w:rsidR="00F12BAC" w:rsidRPr="00026CD0">
      <w:rPr>
        <w:i/>
        <w:sz w:val="18"/>
      </w:rPr>
      <w:t>g</w:t>
    </w:r>
    <w:r w:rsidRPr="00026CD0">
      <w:rPr>
        <w:i/>
        <w:sz w:val="18"/>
      </w:rPr>
      <w:t>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37CAE"/>
    <w:multiLevelType w:val="hybridMultilevel"/>
    <w:tmpl w:val="C53645B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247204"/>
    <w:multiLevelType w:val="hybridMultilevel"/>
    <w:tmpl w:val="C92E7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EA5"/>
    <w:rsid w:val="00026CD0"/>
    <w:rsid w:val="00061733"/>
    <w:rsid w:val="00064CE3"/>
    <w:rsid w:val="000713AB"/>
    <w:rsid w:val="000759E3"/>
    <w:rsid w:val="000919DE"/>
    <w:rsid w:val="000B59E2"/>
    <w:rsid w:val="000C4CA8"/>
    <w:rsid w:val="000C6174"/>
    <w:rsid w:val="001811BF"/>
    <w:rsid w:val="001F0051"/>
    <w:rsid w:val="001F6CC3"/>
    <w:rsid w:val="001F7BAA"/>
    <w:rsid w:val="0021177F"/>
    <w:rsid w:val="00217135"/>
    <w:rsid w:val="00217D48"/>
    <w:rsid w:val="00271E75"/>
    <w:rsid w:val="00292CD6"/>
    <w:rsid w:val="003017FE"/>
    <w:rsid w:val="0031633F"/>
    <w:rsid w:val="0032668D"/>
    <w:rsid w:val="00327A87"/>
    <w:rsid w:val="00344239"/>
    <w:rsid w:val="003B3096"/>
    <w:rsid w:val="0041565E"/>
    <w:rsid w:val="00482A34"/>
    <w:rsid w:val="004A1C03"/>
    <w:rsid w:val="004E57E2"/>
    <w:rsid w:val="00593EA2"/>
    <w:rsid w:val="00642A75"/>
    <w:rsid w:val="006433F4"/>
    <w:rsid w:val="00706C0A"/>
    <w:rsid w:val="007269EB"/>
    <w:rsid w:val="0078657F"/>
    <w:rsid w:val="007C588B"/>
    <w:rsid w:val="007C7547"/>
    <w:rsid w:val="00895BCF"/>
    <w:rsid w:val="008A16C2"/>
    <w:rsid w:val="008D17E7"/>
    <w:rsid w:val="008E4574"/>
    <w:rsid w:val="00990624"/>
    <w:rsid w:val="00997133"/>
    <w:rsid w:val="009A04F3"/>
    <w:rsid w:val="009B3A1E"/>
    <w:rsid w:val="009C4142"/>
    <w:rsid w:val="009C7852"/>
    <w:rsid w:val="00A010E0"/>
    <w:rsid w:val="00A518F4"/>
    <w:rsid w:val="00A639A8"/>
    <w:rsid w:val="00AB1EA5"/>
    <w:rsid w:val="00AC710C"/>
    <w:rsid w:val="00B8780C"/>
    <w:rsid w:val="00B94767"/>
    <w:rsid w:val="00BC056B"/>
    <w:rsid w:val="00BE4D61"/>
    <w:rsid w:val="00BF713A"/>
    <w:rsid w:val="00C010BE"/>
    <w:rsid w:val="00C32962"/>
    <w:rsid w:val="00C6352F"/>
    <w:rsid w:val="00C65BE7"/>
    <w:rsid w:val="00C73FAF"/>
    <w:rsid w:val="00CD0CC4"/>
    <w:rsid w:val="00CF23F7"/>
    <w:rsid w:val="00D77700"/>
    <w:rsid w:val="00D955A8"/>
    <w:rsid w:val="00DC68D0"/>
    <w:rsid w:val="00E162F5"/>
    <w:rsid w:val="00E45804"/>
    <w:rsid w:val="00E90116"/>
    <w:rsid w:val="00EF715D"/>
    <w:rsid w:val="00F12BAC"/>
    <w:rsid w:val="00F23B14"/>
    <w:rsid w:val="00F310B8"/>
    <w:rsid w:val="00F53E0B"/>
    <w:rsid w:val="00F64990"/>
    <w:rsid w:val="00F74021"/>
    <w:rsid w:val="00FA08D8"/>
    <w:rsid w:val="00FA6C32"/>
    <w:rsid w:val="00FB34E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FDE68E"/>
  <w15:docId w15:val="{BD30AE36-5436-4024-B800-494B3EF3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B1EA5"/>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unhideWhenUsed/>
    <w:qFormat/>
    <w:rsid w:val="0041565E"/>
    <w:pPr>
      <w:ind w:left="720"/>
      <w:contextualSpacing/>
    </w:pPr>
  </w:style>
  <w:style w:type="table" w:styleId="Tabellenraster">
    <w:name w:val="Table Grid"/>
    <w:basedOn w:val="NormaleTabelle"/>
    <w:uiPriority w:val="59"/>
    <w:rsid w:val="0041565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97133"/>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997133"/>
    <w:rPr>
      <w:b/>
      <w:bCs/>
    </w:rPr>
  </w:style>
  <w:style w:type="character" w:customStyle="1" w:styleId="KommentarthemaZchn">
    <w:name w:val="Kommentarthema Zchn"/>
    <w:basedOn w:val="KommentartextZchn"/>
    <w:link w:val="Kommentarthema"/>
    <w:uiPriority w:val="99"/>
    <w:semiHidden/>
    <w:rsid w:val="00997133"/>
    <w:rPr>
      <w:rFonts w:eastAsiaTheme="minorEastAsia"/>
      <w:b/>
      <w:bCs/>
      <w:sz w:val="20"/>
      <w:szCs w:val="20"/>
      <w:lang w:eastAsia="de-DE"/>
    </w:rPr>
  </w:style>
  <w:style w:type="paragraph" w:styleId="Sprechblasentext">
    <w:name w:val="Balloon Text"/>
    <w:basedOn w:val="Standard"/>
    <w:link w:val="SprechblasentextZchn"/>
    <w:uiPriority w:val="99"/>
    <w:semiHidden/>
    <w:unhideWhenUsed/>
    <w:rsid w:val="009971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7133"/>
    <w:rPr>
      <w:rFonts w:ascii="Tahoma" w:eastAsiaTheme="minorEastAsia" w:hAnsi="Tahoma" w:cs="Tahoma"/>
      <w:sz w:val="16"/>
      <w:szCs w:val="16"/>
      <w:lang w:eastAsia="de-DE"/>
    </w:rPr>
  </w:style>
  <w:style w:type="paragraph" w:styleId="Kopfzeile">
    <w:name w:val="header"/>
    <w:basedOn w:val="Standard"/>
    <w:link w:val="KopfzeileZchn"/>
    <w:uiPriority w:val="99"/>
    <w:unhideWhenUsed/>
    <w:rsid w:val="00F310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10B8"/>
    <w:rPr>
      <w:rFonts w:eastAsiaTheme="minorEastAsia"/>
      <w:lang w:eastAsia="de-DE"/>
    </w:rPr>
  </w:style>
  <w:style w:type="paragraph" w:styleId="Fuzeile">
    <w:name w:val="footer"/>
    <w:basedOn w:val="Standard"/>
    <w:link w:val="FuzeileZchn"/>
    <w:uiPriority w:val="99"/>
    <w:unhideWhenUsed/>
    <w:rsid w:val="00F310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10B8"/>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3124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LfDI BW</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Wilhelm</dc:creator>
  <cp:lastModifiedBy>Schmid, Anja</cp:lastModifiedBy>
  <cp:revision>3</cp:revision>
  <dcterms:created xsi:type="dcterms:W3CDTF">2022-08-25T05:42:00Z</dcterms:created>
  <dcterms:modified xsi:type="dcterms:W3CDTF">2022-09-22T13:27:00Z</dcterms:modified>
</cp:coreProperties>
</file>