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4FC71" w14:textId="14563116" w:rsidR="004F589A" w:rsidRPr="00EA4E2C" w:rsidRDefault="004F589A" w:rsidP="009918E1">
      <w:pPr>
        <w:jc w:val="center"/>
      </w:pPr>
      <w:r w:rsidRPr="00EA4E2C">
        <w:rPr>
          <w:noProof/>
          <w:lang w:eastAsia="de-DE"/>
        </w:rPr>
        <w:drawing>
          <wp:inline distT="0" distB="0" distL="0" distR="0" wp14:anchorId="49BC52E5" wp14:editId="58C4EBE3">
            <wp:extent cx="2043975" cy="540000"/>
            <wp:effectExtent l="0" t="0" r="0" b="0"/>
            <wp:docPr id="1" name="logobsp" descr="Logo (Beispiel in reduzierter Gr&amp;ouml;&amp;szl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sp" descr="Logo (Beispiel in reduzierter Gr&amp;ouml;&amp;szli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975" cy="540000"/>
                    </a:xfrm>
                    <a:prstGeom prst="rect">
                      <a:avLst/>
                    </a:prstGeom>
                    <a:noFill/>
                    <a:ln>
                      <a:noFill/>
                    </a:ln>
                  </pic:spPr>
                </pic:pic>
              </a:graphicData>
            </a:graphic>
          </wp:inline>
        </w:drawing>
      </w:r>
      <w:r w:rsidR="009918E1">
        <w:t xml:space="preserve">        </w:t>
      </w:r>
      <w:r w:rsidRPr="00EA4E2C">
        <w:rPr>
          <w:rFonts w:ascii="Arial Narrow" w:hAnsi="Arial Narrow" w:cs="Times New Roman"/>
          <w:noProof/>
          <w:lang w:eastAsia="de-DE"/>
        </w:rPr>
        <w:drawing>
          <wp:inline distT="0" distB="0" distL="0" distR="0" wp14:anchorId="159A555C" wp14:editId="5CC9617E">
            <wp:extent cx="1487912" cy="576000"/>
            <wp:effectExtent l="0" t="0" r="0" b="0"/>
            <wp:docPr id="2" name="Bild 4" descr="UniBi_Logo_54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Bi_Logo_54_far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7912" cy="576000"/>
                    </a:xfrm>
                    <a:prstGeom prst="rect">
                      <a:avLst/>
                    </a:prstGeom>
                    <a:noFill/>
                    <a:ln>
                      <a:noFill/>
                    </a:ln>
                  </pic:spPr>
                </pic:pic>
              </a:graphicData>
            </a:graphic>
          </wp:inline>
        </w:drawing>
      </w:r>
    </w:p>
    <w:p w14:paraId="27652C6E" w14:textId="77777777" w:rsidR="004F589A" w:rsidRPr="00EA4E2C" w:rsidRDefault="004F589A" w:rsidP="004F589A">
      <w:pPr>
        <w:jc w:val="center"/>
      </w:pPr>
      <w:r w:rsidRPr="00EA4E2C">
        <w:rPr>
          <w:rFonts w:ascii="Arial" w:hAnsi="Arial" w:cs="Arial"/>
          <w:noProof/>
          <w:sz w:val="18"/>
          <w:szCs w:val="18"/>
          <w:lang w:eastAsia="de-DE"/>
        </w:rPr>
        <w:drawing>
          <wp:inline distT="0" distB="0" distL="0" distR="0" wp14:anchorId="34AE0C05" wp14:editId="140FEF37">
            <wp:extent cx="1107535" cy="684000"/>
            <wp:effectExtent l="0" t="0" r="0" b="1905"/>
            <wp:docPr id="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107535" cy="684000"/>
                    </a:xfrm>
                    <a:prstGeom prst="rect">
                      <a:avLst/>
                    </a:prstGeom>
                  </pic:spPr>
                </pic:pic>
              </a:graphicData>
            </a:graphic>
          </wp:inline>
        </w:drawing>
      </w:r>
      <w:r>
        <w:t xml:space="preserve">      </w:t>
      </w:r>
      <w:r w:rsidRPr="00EA4E2C">
        <w:rPr>
          <w:noProof/>
          <w:lang w:eastAsia="de-DE"/>
        </w:rPr>
        <w:drawing>
          <wp:inline distT="0" distB="0" distL="0" distR="0" wp14:anchorId="4258CAD3" wp14:editId="6369E32E">
            <wp:extent cx="1641611" cy="468000"/>
            <wp:effectExtent l="0" t="0" r="0" b="8255"/>
            <wp:docPr id="5" name="Grafik 5" descr="https://www.uni-siegen.de/cd/basiselemente/logo/logo_uni_siegen_rgb.jpg?lang=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siegen.de/cd/basiselemente/logo/logo_uni_siegen_rgb.jpg?lang=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611" cy="468000"/>
                    </a:xfrm>
                    <a:prstGeom prst="rect">
                      <a:avLst/>
                    </a:prstGeom>
                    <a:noFill/>
                    <a:ln>
                      <a:noFill/>
                    </a:ln>
                  </pic:spPr>
                </pic:pic>
              </a:graphicData>
            </a:graphic>
          </wp:inline>
        </w:drawing>
      </w:r>
      <w:r>
        <w:t xml:space="preserve">     </w:t>
      </w:r>
      <w:r>
        <w:rPr>
          <w:noProof/>
          <w:lang w:eastAsia="de-DE"/>
        </w:rPr>
        <w:drawing>
          <wp:inline distT="0" distB="0" distL="0" distR="0" wp14:anchorId="703D5671" wp14:editId="7C2A1B1E">
            <wp:extent cx="908312" cy="300144"/>
            <wp:effectExtent l="0" t="0" r="6350" b="5080"/>
            <wp:docPr id="8" name="Grafik 8" descr="DFN-CERT Services Gmb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N-CERT Services GmbH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8269" cy="300130"/>
                    </a:xfrm>
                    <a:prstGeom prst="rect">
                      <a:avLst/>
                    </a:prstGeom>
                    <a:noFill/>
                    <a:ln>
                      <a:noFill/>
                    </a:ln>
                  </pic:spPr>
                </pic:pic>
              </a:graphicData>
            </a:graphic>
          </wp:inline>
        </w:drawing>
      </w:r>
    </w:p>
    <w:p w14:paraId="6F664655" w14:textId="77777777" w:rsidR="004F589A" w:rsidRDefault="004F589A" w:rsidP="004F589A"/>
    <w:p w14:paraId="41A52AEE" w14:textId="77777777" w:rsidR="004F589A" w:rsidRDefault="004F589A" w:rsidP="004F589A"/>
    <w:p w14:paraId="7389E8CF" w14:textId="77777777" w:rsidR="009918E1" w:rsidRPr="00EA4E2C" w:rsidRDefault="009918E1" w:rsidP="004F589A"/>
    <w:p w14:paraId="786CD6A2" w14:textId="77777777" w:rsidR="004F589A" w:rsidRPr="00EA4E2C" w:rsidRDefault="004F589A" w:rsidP="004F589A"/>
    <w:p w14:paraId="0477C0F7" w14:textId="52871936" w:rsidR="004F589A" w:rsidRPr="00463F9C" w:rsidRDefault="004F589A" w:rsidP="004F589A">
      <w:pPr>
        <w:pStyle w:val="Titel"/>
      </w:pPr>
      <w:r w:rsidRPr="00463F9C">
        <w:t>DSFA</w:t>
      </w:r>
      <w:r w:rsidR="009918E1">
        <w:t xml:space="preserve"> − </w:t>
      </w:r>
      <w:r>
        <w:t>Datenschutz-Folgeabschätzung</w:t>
      </w:r>
    </w:p>
    <w:p w14:paraId="3FAE93DF" w14:textId="52C83741" w:rsidR="004F589A" w:rsidRPr="009918E1" w:rsidRDefault="009D3631" w:rsidP="004F589A">
      <w:pPr>
        <w:rPr>
          <w:sz w:val="28"/>
        </w:rPr>
      </w:pPr>
      <w:r w:rsidRPr="009918E1">
        <w:rPr>
          <w:sz w:val="28"/>
        </w:rPr>
        <w:t>Grundlagen, Methodik</w:t>
      </w:r>
    </w:p>
    <w:p w14:paraId="276BBB36" w14:textId="77777777" w:rsidR="004F589A" w:rsidRPr="00EA4E2C" w:rsidRDefault="004F589A" w:rsidP="004F589A"/>
    <w:p w14:paraId="6AF9E15A" w14:textId="2D906B67" w:rsidR="004F589A" w:rsidRDefault="009D3631" w:rsidP="004F589A">
      <w:r>
        <w:t>Version 1.0, 09. November 2018</w:t>
      </w:r>
    </w:p>
    <w:p w14:paraId="0F4738A1" w14:textId="77777777" w:rsidR="004F589A" w:rsidRPr="00EA4E2C" w:rsidRDefault="004F589A" w:rsidP="004F589A"/>
    <w:p w14:paraId="3A542093" w14:textId="77777777" w:rsidR="004F589A" w:rsidRDefault="004F589A" w:rsidP="004F589A"/>
    <w:p w14:paraId="0CB53F65" w14:textId="77777777" w:rsidR="009918E1" w:rsidRDefault="009918E1" w:rsidP="004F589A"/>
    <w:p w14:paraId="0CE765E0" w14:textId="77777777" w:rsidR="009918E1" w:rsidRDefault="009918E1" w:rsidP="004F589A"/>
    <w:p w14:paraId="243BED9C" w14:textId="77777777" w:rsidR="009918E1" w:rsidRDefault="009918E1" w:rsidP="004F589A"/>
    <w:p w14:paraId="204DB247" w14:textId="77777777" w:rsidR="009918E1" w:rsidRDefault="009918E1" w:rsidP="004F589A"/>
    <w:p w14:paraId="5FBD0430" w14:textId="77777777" w:rsidR="009918E1" w:rsidRPr="00EA4E2C" w:rsidRDefault="009918E1" w:rsidP="004F589A"/>
    <w:p w14:paraId="4872880F" w14:textId="77777777" w:rsidR="004F589A" w:rsidRPr="00EA4E2C" w:rsidRDefault="004F589A" w:rsidP="004F589A">
      <w:pPr>
        <w:rPr>
          <w:rFonts w:ascii="Calibri" w:eastAsia="Calibri" w:hAnsi="Calibri" w:cs="Times New Roman"/>
        </w:rPr>
      </w:pPr>
      <w:r w:rsidRPr="00EA4E2C">
        <w:rPr>
          <w:rFonts w:ascii="Calibri" w:eastAsia="Calibri" w:hAnsi="Calibri" w:cs="Times New Roman"/>
        </w:rPr>
        <w:t>Die Nutzung dieses Dokuments ist zulässig unter der Lizenz CC BY-SA 3.0  </w:t>
      </w:r>
      <w:r w:rsidRPr="00EA4E2C">
        <w:rPr>
          <w:rFonts w:ascii="Calibri" w:eastAsia="Calibri" w:hAnsi="Calibri" w:cs="Times New Roman"/>
        </w:rPr>
        <w:br/>
      </w:r>
      <w:hyperlink r:id="rId13" w:history="1">
        <w:r w:rsidRPr="00EA4E2C">
          <w:rPr>
            <w:rFonts w:ascii="Calibri" w:eastAsia="Calibri" w:hAnsi="Calibri" w:cs="Times New Roman"/>
            <w:color w:val="0563C1"/>
            <w:u w:val="single"/>
          </w:rPr>
          <w:t>https://creativecommons.org/licenses/by-sa/3.0/de/legalcode</w:t>
        </w:r>
      </w:hyperlink>
      <w:r w:rsidRPr="00EA4E2C">
        <w:rPr>
          <w:rFonts w:ascii="Calibri" w:eastAsia="Calibri" w:hAnsi="Calibri" w:cs="Times New Roman"/>
        </w:rPr>
        <w:t xml:space="preserve">  </w:t>
      </w:r>
      <w:r w:rsidRPr="00EA4E2C">
        <w:rPr>
          <w:rFonts w:ascii="Calibri" w:eastAsia="Calibri" w:hAnsi="Calibri" w:cs="Times New Roman"/>
        </w:rPr>
        <w:br/>
        <w:t>Autor: NRW Projektgruppe „Umsetzung der EU-Datenschutz-Grundverordnung (EU-DSGVO) −</w:t>
      </w:r>
      <w:r w:rsidRPr="00EA4E2C">
        <w:rPr>
          <w:rFonts w:ascii="Calibri" w:eastAsia="Calibri" w:hAnsi="Calibri" w:cs="Times New Roman"/>
        </w:rPr>
        <w:br/>
        <w:t>Datenschutzmanagementsysteme“ 2018</w:t>
      </w:r>
    </w:p>
    <w:p w14:paraId="6CDA8D6D" w14:textId="77777777" w:rsidR="004F589A" w:rsidRDefault="004F589A" w:rsidP="004F589A">
      <w:pPr>
        <w:rPr>
          <w:rFonts w:ascii="Calibri" w:eastAsia="Calibri" w:hAnsi="Calibri" w:cs="Times New Roman"/>
        </w:rPr>
      </w:pPr>
    </w:p>
    <w:p w14:paraId="2A174C18" w14:textId="77777777" w:rsidR="009918E1" w:rsidRDefault="009918E1" w:rsidP="004F589A">
      <w:pPr>
        <w:rPr>
          <w:rFonts w:ascii="Calibri" w:eastAsia="Calibri" w:hAnsi="Calibri" w:cs="Times New Roman"/>
        </w:rPr>
      </w:pPr>
    </w:p>
    <w:p w14:paraId="5ACF0710" w14:textId="77777777" w:rsidR="009918E1" w:rsidRPr="00CD6DCF" w:rsidRDefault="009918E1" w:rsidP="004F589A">
      <w:pPr>
        <w:rPr>
          <w:rFonts w:ascii="Calibri" w:eastAsia="Calibri" w:hAnsi="Calibri" w:cs="Times New Roman"/>
        </w:rPr>
      </w:pPr>
    </w:p>
    <w:p w14:paraId="1770709B" w14:textId="77777777" w:rsidR="004F589A" w:rsidRDefault="004F589A" w:rsidP="004F589A"/>
    <w:p w14:paraId="3EB83625" w14:textId="58782D20" w:rsidR="004F589A" w:rsidRPr="004F589A" w:rsidRDefault="009918E1" w:rsidP="009918E1">
      <w:pPr>
        <w:jc w:val="right"/>
      </w:pPr>
      <w:r>
        <w:rPr>
          <w:rFonts w:ascii="Calibri" w:eastAsia="Calibri" w:hAnsi="Calibri" w:cs="Times New Roman"/>
        </w:rPr>
        <w:t xml:space="preserve">gefördert vom   </w:t>
      </w:r>
      <w:r w:rsidRPr="00166019">
        <w:rPr>
          <w:rFonts w:ascii="Calibri" w:eastAsia="Calibri" w:hAnsi="Calibri" w:cs="Times New Roman"/>
          <w:noProof/>
          <w:lang w:eastAsia="de-DE"/>
        </w:rPr>
        <w:drawing>
          <wp:inline distT="0" distB="0" distL="0" distR="0" wp14:anchorId="156805A9" wp14:editId="52ADE07C">
            <wp:extent cx="2241326" cy="459199"/>
            <wp:effectExtent l="0" t="0" r="698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40139" cy="458956"/>
                    </a:xfrm>
                    <a:prstGeom prst="rect">
                      <a:avLst/>
                    </a:prstGeom>
                    <a:noFill/>
                    <a:ln>
                      <a:noFill/>
                    </a:ln>
                    <a:extLst/>
                  </pic:spPr>
                </pic:pic>
              </a:graphicData>
            </a:graphic>
          </wp:inline>
        </w:drawing>
      </w:r>
      <w:r w:rsidR="004F589A">
        <w:br w:type="page"/>
      </w:r>
    </w:p>
    <w:p w14:paraId="4295A7F5" w14:textId="35BEFF3C" w:rsidR="00DF5BB9" w:rsidRPr="00463F9C" w:rsidRDefault="00722ABE" w:rsidP="00463F9C">
      <w:pPr>
        <w:pStyle w:val="Titel"/>
      </w:pPr>
      <w:r w:rsidRPr="00463F9C">
        <w:lastRenderedPageBreak/>
        <w:t>DSFA</w:t>
      </w:r>
      <w:r w:rsidR="009918E1">
        <w:t xml:space="preserve"> − </w:t>
      </w:r>
      <w:r w:rsidR="00182832">
        <w:t>Datenschutz-Folgeabschätzung</w:t>
      </w:r>
    </w:p>
    <w:p w14:paraId="31460294" w14:textId="1985FC53" w:rsidR="00722ABE" w:rsidRPr="00463F9C" w:rsidRDefault="00182832" w:rsidP="00182832">
      <w:pPr>
        <w:pStyle w:val="berschrift1"/>
      </w:pPr>
      <w:r>
        <w:t>Rechtliche Grundlagen</w:t>
      </w:r>
    </w:p>
    <w:p w14:paraId="65DDAB6D" w14:textId="3EA12707" w:rsidR="00722ABE" w:rsidRDefault="00182832">
      <w:r>
        <w:t xml:space="preserve">Art. 35 DSGVO verlangt eine DSFA, wenn die </w:t>
      </w:r>
      <w:r w:rsidR="00722ABE">
        <w:t xml:space="preserve">Form der Verarbeitung </w:t>
      </w:r>
      <w:r w:rsidR="00722ABE" w:rsidRPr="00722ABE">
        <w:rPr>
          <w:u w:val="single"/>
        </w:rPr>
        <w:t>voraussichtlich</w:t>
      </w:r>
      <w:r w:rsidR="00722ABE">
        <w:t xml:space="preserve"> ein hohes Risiko für Rechte und Freiheiten natürlicher Personen</w:t>
      </w:r>
      <w:r>
        <w:t xml:space="preserve"> hat</w:t>
      </w:r>
      <w:r w:rsidR="00722ABE">
        <w:t xml:space="preserve">, </w:t>
      </w:r>
      <w:r w:rsidR="00722ABE" w:rsidRPr="00722ABE">
        <w:rPr>
          <w:u w:val="single"/>
        </w:rPr>
        <w:t>insbesondere</w:t>
      </w:r>
      <w:r w:rsidR="00722ABE">
        <w:t>:</w:t>
      </w:r>
    </w:p>
    <w:p w14:paraId="04066645" w14:textId="77777777" w:rsidR="00FF0E3F" w:rsidRDefault="00FF0E3F" w:rsidP="00FF0E3F">
      <w:pPr>
        <w:pStyle w:val="Listenabsatz"/>
        <w:numPr>
          <w:ilvl w:val="0"/>
          <w:numId w:val="1"/>
        </w:numPr>
      </w:pPr>
      <w:r>
        <w:t>Verwendung neuer Technologien</w:t>
      </w:r>
    </w:p>
    <w:p w14:paraId="048E073D" w14:textId="77777777" w:rsidR="00FF0E3F" w:rsidRDefault="00FF0E3F" w:rsidP="00FF0E3F">
      <w:pPr>
        <w:pStyle w:val="Listenabsatz"/>
        <w:numPr>
          <w:ilvl w:val="0"/>
          <w:numId w:val="1"/>
        </w:numPr>
      </w:pPr>
      <w:r>
        <w:t>Art,</w:t>
      </w:r>
    </w:p>
    <w:p w14:paraId="57B85C0B" w14:textId="77777777" w:rsidR="00FF0E3F" w:rsidRDefault="00FF0E3F" w:rsidP="00FF0E3F">
      <w:pPr>
        <w:pStyle w:val="Listenabsatz"/>
        <w:numPr>
          <w:ilvl w:val="0"/>
          <w:numId w:val="1"/>
        </w:numPr>
      </w:pPr>
      <w:r>
        <w:t>Umfang,</w:t>
      </w:r>
    </w:p>
    <w:p w14:paraId="56AFE444" w14:textId="77777777" w:rsidR="00FF0E3F" w:rsidRDefault="00FF0E3F" w:rsidP="00FF0E3F">
      <w:pPr>
        <w:pStyle w:val="Listenabsatz"/>
        <w:numPr>
          <w:ilvl w:val="0"/>
          <w:numId w:val="1"/>
        </w:numPr>
      </w:pPr>
      <w:r>
        <w:t>Umstände,</w:t>
      </w:r>
    </w:p>
    <w:p w14:paraId="34D4EF7A" w14:textId="47631F65" w:rsidR="00FF0E3F" w:rsidRDefault="00FF0E3F" w:rsidP="00FF0E3F">
      <w:pPr>
        <w:pStyle w:val="Listenabsatz"/>
        <w:numPr>
          <w:ilvl w:val="0"/>
          <w:numId w:val="1"/>
        </w:numPr>
      </w:pPr>
      <w:r>
        <w:t>Zwecke</w:t>
      </w:r>
    </w:p>
    <w:p w14:paraId="40B83617" w14:textId="4F907852" w:rsidR="00182832" w:rsidRDefault="00182832" w:rsidP="00182832">
      <w:r>
        <w:t>Diese Merkmale sind so abstrakt, dass ohne weitere Konkretisierung keine praktische Anwendbarkeit gegeben ist. Eine durch die Datenschutzaufsichtsbehörden anerkannte Konkretisierung erfolg</w:t>
      </w:r>
      <w:r w:rsidR="0078468B">
        <w:t>t durch die „Leitlinien zur Datenschutz-Folgeabschätzung (DSFA) und Beantwortung der Frage, ob eine Ve</w:t>
      </w:r>
      <w:r w:rsidR="0078468B">
        <w:t>r</w:t>
      </w:r>
      <w:r w:rsidR="0078468B">
        <w:t>arbeitung im Sinne der Verordnung 2016/679 wahrscheinlich ein hohes Risiko mit sich bringt“ der Art. 29 Datenschutzgruppe vorgenommen. Allerdings sind die 9 dort genannten Fallgruppen eines potenziell hohen Risikos ebenfalls teilweise sehr abstrakt bestimmt. Einigermaßen konkret sind nur die Fälle, in denen nach Art. 35 Abs. 3 und 4 DSGVO stets eine DSFA durchgeführt werden muss. A</w:t>
      </w:r>
      <w:r w:rsidR="0078468B">
        <w:t>b</w:t>
      </w:r>
      <w:r w:rsidR="0078468B">
        <w:t>seits dieser Fälle, muss anhand der Kriterien in Art. 35 Abs. 1 DSGVO und den hierzu verfügbaren Konkretisierungen eine sog. Schwellwertanalyse durchgeführt werden um zu ermitteln, ob eine DSFA für die zu prüfende Verarbeitung durchzuführen ist.</w:t>
      </w:r>
    </w:p>
    <w:p w14:paraId="67F3EEF0" w14:textId="77777777" w:rsidR="00FF0E3F" w:rsidRPr="00463F9C" w:rsidRDefault="00463F9C" w:rsidP="00463F9C">
      <w:pPr>
        <w:pStyle w:val="berschrift1"/>
      </w:pPr>
      <w:r w:rsidRPr="00463F9C">
        <w:t>Schwellwertanalyse</w:t>
      </w:r>
    </w:p>
    <w:p w14:paraId="0621FA25" w14:textId="7F7C07C7" w:rsidR="00FF0E3F" w:rsidRDefault="0078468B" w:rsidP="00FF0E3F">
      <w:r>
        <w:t>Die Schwellwertanalyse ergibt sich nicht direkt aus dem Gesetz,</w:t>
      </w:r>
      <w:r w:rsidR="00FF0E3F">
        <w:t xml:space="preserve"> ist aber logische Folge aus Art. 35 </w:t>
      </w:r>
      <w:r>
        <w:t xml:space="preserve">Abs. 1 </w:t>
      </w:r>
      <w:r w:rsidR="00FF0E3F">
        <w:t>DSGVO</w:t>
      </w:r>
      <w:r>
        <w:t>.</w:t>
      </w:r>
      <w:r w:rsidR="00FF0E3F">
        <w:t xml:space="preserve"> Die</w:t>
      </w:r>
      <w:r>
        <w:t xml:space="preserve"> </w:t>
      </w:r>
      <w:r w:rsidR="00FF0E3F">
        <w:t>Schwellwertanalyse ist systematisch vergleichbar mit der Schutzbedarfsanalyse aus der Informationssicherheit</w:t>
      </w:r>
      <w:r w:rsidR="00DB219B">
        <w:t>, verfolgt aber einen anderen Fokus, indem das Risiko von Grun</w:t>
      </w:r>
      <w:r w:rsidR="00DB219B">
        <w:t>d</w:t>
      </w:r>
      <w:r w:rsidR="00DB219B">
        <w:t>rechtsverletzungen des Betroffenen im Mittelpunk steht.</w:t>
      </w:r>
    </w:p>
    <w:tbl>
      <w:tblPr>
        <w:tblStyle w:val="Tabellenraster"/>
        <w:tblW w:w="0" w:type="auto"/>
        <w:tblLook w:val="04A0" w:firstRow="1" w:lastRow="0" w:firstColumn="1" w:lastColumn="0" w:noHBand="0" w:noVBand="1"/>
      </w:tblPr>
      <w:tblGrid>
        <w:gridCol w:w="4531"/>
        <w:gridCol w:w="4531"/>
      </w:tblGrid>
      <w:tr w:rsidR="00FF0E3F" w14:paraId="53F656BA" w14:textId="77777777" w:rsidTr="00FF0E3F">
        <w:tc>
          <w:tcPr>
            <w:tcW w:w="4531" w:type="dxa"/>
          </w:tcPr>
          <w:p w14:paraId="60860C92" w14:textId="77777777" w:rsidR="00FF0E3F" w:rsidRDefault="006E4EAC" w:rsidP="00FF0E3F">
            <w:r>
              <w:t>Schwellwertanalyse</w:t>
            </w:r>
          </w:p>
        </w:tc>
        <w:tc>
          <w:tcPr>
            <w:tcW w:w="4531" w:type="dxa"/>
          </w:tcPr>
          <w:p w14:paraId="119D208C" w14:textId="77777777" w:rsidR="00FF0E3F" w:rsidRDefault="006E4EAC" w:rsidP="00FF0E3F">
            <w:r>
              <w:t>Schutzbedarfsanalyse</w:t>
            </w:r>
          </w:p>
        </w:tc>
      </w:tr>
      <w:tr w:rsidR="00FF0E3F" w14:paraId="717509FD" w14:textId="77777777" w:rsidTr="00FF0E3F">
        <w:tc>
          <w:tcPr>
            <w:tcW w:w="4531" w:type="dxa"/>
          </w:tcPr>
          <w:p w14:paraId="2C69FC6E" w14:textId="77777777" w:rsidR="00FF0E3F" w:rsidRDefault="006E4EAC" w:rsidP="00FF0E3F">
            <w:r>
              <w:t xml:space="preserve">Fokus: Risiko </w:t>
            </w:r>
            <w:r w:rsidR="00453FE9">
              <w:t>für Rechte und Freiheiten von betroffenen natürlichen Personen</w:t>
            </w:r>
          </w:p>
        </w:tc>
        <w:tc>
          <w:tcPr>
            <w:tcW w:w="4531" w:type="dxa"/>
          </w:tcPr>
          <w:p w14:paraId="7905E026" w14:textId="77777777" w:rsidR="00FF0E3F" w:rsidRDefault="00453FE9" w:rsidP="00FF0E3F">
            <w:r>
              <w:t>Fokus: Risiken für die Organisation</w:t>
            </w:r>
          </w:p>
        </w:tc>
      </w:tr>
      <w:tr w:rsidR="00FF0E3F" w14:paraId="1EC085B5" w14:textId="77777777" w:rsidTr="00FF0E3F">
        <w:tc>
          <w:tcPr>
            <w:tcW w:w="4531" w:type="dxa"/>
          </w:tcPr>
          <w:p w14:paraId="320D163D" w14:textId="77777777" w:rsidR="00FF0E3F" w:rsidRDefault="00453FE9" w:rsidP="00FF0E3F">
            <w:r>
              <w:t>Schwellwert über- oder unterschritten:</w:t>
            </w:r>
          </w:p>
          <w:p w14:paraId="3B1AE838" w14:textId="77777777" w:rsidR="00453FE9" w:rsidRDefault="00453FE9" w:rsidP="00FF0E3F">
            <w:r>
              <w:t>Bei Unterschreitung: Normaler Schutzbedarf, Prüfung endet hier, im Datenschutz gibt es ke</w:t>
            </w:r>
            <w:r>
              <w:t>i</w:t>
            </w:r>
            <w:r>
              <w:t>nen Schutzbedarf unterhalb normal, weil stets personenbezogene Daten betroffen sind</w:t>
            </w:r>
          </w:p>
          <w:p w14:paraId="124B7FD1" w14:textId="77777777" w:rsidR="00453FE9" w:rsidRDefault="00453FE9" w:rsidP="00FF0E3F">
            <w:r>
              <w:t>Bei Überschreitung: Hoher bzw. sehr hoher Schutzbedarf, DSFA erforderlich</w:t>
            </w:r>
          </w:p>
        </w:tc>
        <w:tc>
          <w:tcPr>
            <w:tcW w:w="4531" w:type="dxa"/>
          </w:tcPr>
          <w:p w14:paraId="757335BC" w14:textId="77777777" w:rsidR="00FF0E3F" w:rsidRDefault="00453FE9" w:rsidP="00FF0E3F">
            <w:r>
              <w:t>Schutzbedarf:</w:t>
            </w:r>
          </w:p>
          <w:p w14:paraId="5FE17211" w14:textId="77777777" w:rsidR="00453FE9" w:rsidRDefault="00453FE9" w:rsidP="00FF0E3F">
            <w:r>
              <w:t>Niedrig</w:t>
            </w:r>
          </w:p>
          <w:p w14:paraId="66E1F148" w14:textId="77777777" w:rsidR="00453FE9" w:rsidRDefault="00453FE9" w:rsidP="00FF0E3F">
            <w:r>
              <w:t>Normal</w:t>
            </w:r>
          </w:p>
          <w:p w14:paraId="04F241B5" w14:textId="77777777" w:rsidR="00453FE9" w:rsidRDefault="00453FE9" w:rsidP="00FF0E3F">
            <w:r>
              <w:t>Hoch: Risikoanalyse erforderlich</w:t>
            </w:r>
          </w:p>
          <w:p w14:paraId="5CCF7B78" w14:textId="77777777" w:rsidR="00453FE9" w:rsidRDefault="00453FE9" w:rsidP="00FF0E3F">
            <w:r>
              <w:t xml:space="preserve">Sehr </w:t>
            </w:r>
            <w:r w:rsidR="00797402">
              <w:t>h</w:t>
            </w:r>
            <w:r>
              <w:t>och: Risikoanalyse erforderlich</w:t>
            </w:r>
          </w:p>
        </w:tc>
      </w:tr>
      <w:tr w:rsidR="00FF0E3F" w14:paraId="6AF4DD36" w14:textId="77777777" w:rsidTr="00FF0E3F">
        <w:tc>
          <w:tcPr>
            <w:tcW w:w="4531" w:type="dxa"/>
          </w:tcPr>
          <w:p w14:paraId="5AD645CC" w14:textId="77777777" w:rsidR="00FF0E3F" w:rsidRDefault="00453FE9" w:rsidP="00FF0E3F">
            <w:r>
              <w:t xml:space="preserve">Kriterien: </w:t>
            </w:r>
            <w:bookmarkStart w:id="0" w:name="_Hlk529176125"/>
            <w:r w:rsidR="00077ADD">
              <w:t>Art. 35 Abs. 1, 3 und 4 DSGVO</w:t>
            </w:r>
            <w:bookmarkEnd w:id="0"/>
            <w:r w:rsidR="00077ADD">
              <w:t xml:space="preserve"> </w:t>
            </w:r>
          </w:p>
        </w:tc>
        <w:tc>
          <w:tcPr>
            <w:tcW w:w="4531" w:type="dxa"/>
          </w:tcPr>
          <w:p w14:paraId="6940832A" w14:textId="77777777" w:rsidR="00FF0E3F" w:rsidRDefault="00453FE9" w:rsidP="00FF0E3F">
            <w:r>
              <w:t>Kriterien: Informationssicherheit (Eintrittswah</w:t>
            </w:r>
            <w:r>
              <w:t>r</w:t>
            </w:r>
            <w:r>
              <w:t>scheinlichkeit/Schadenshöhe)</w:t>
            </w:r>
          </w:p>
        </w:tc>
      </w:tr>
    </w:tbl>
    <w:p w14:paraId="4723EF15" w14:textId="4897CBF3" w:rsidR="00DB219B" w:rsidRDefault="00DB219B" w:rsidP="00FF0E3F"/>
    <w:p w14:paraId="7CC6998A" w14:textId="77777777" w:rsidR="009918E1" w:rsidRDefault="009918E1">
      <w:pPr>
        <w:rPr>
          <w:rFonts w:asciiTheme="majorHAnsi" w:eastAsiaTheme="majorEastAsia" w:hAnsiTheme="majorHAnsi" w:cstheme="majorBidi"/>
          <w:color w:val="2F5496" w:themeColor="accent1" w:themeShade="BF"/>
          <w:sz w:val="32"/>
          <w:szCs w:val="32"/>
        </w:rPr>
      </w:pPr>
      <w:r>
        <w:br w:type="page"/>
      </w:r>
    </w:p>
    <w:p w14:paraId="02780285" w14:textId="49A5E81E" w:rsidR="00DB219B" w:rsidRDefault="00DB219B" w:rsidP="00C87A03">
      <w:pPr>
        <w:pStyle w:val="berschrift1"/>
      </w:pPr>
      <w:r>
        <w:lastRenderedPageBreak/>
        <w:t>Bei der Prüfung der Erforderlichkeit bietet sich die Folgende Methodik an:</w:t>
      </w:r>
    </w:p>
    <w:p w14:paraId="4E9DF8CC" w14:textId="7A8195BC" w:rsidR="00463F9C" w:rsidRPr="00463F9C" w:rsidRDefault="00077ADD" w:rsidP="00DB219B">
      <w:pPr>
        <w:pStyle w:val="berschrift2"/>
        <w:numPr>
          <w:ilvl w:val="0"/>
          <w:numId w:val="20"/>
        </w:numPr>
      </w:pPr>
      <w:r w:rsidRPr="00463F9C">
        <w:t>Prüfvoraussetzungen</w:t>
      </w:r>
      <w:r w:rsidR="00463F9C" w:rsidRPr="00463F9C">
        <w:t xml:space="preserve"> schaffen:</w:t>
      </w:r>
    </w:p>
    <w:p w14:paraId="1D5E7AF6" w14:textId="77777777" w:rsidR="00FF0E3F" w:rsidRDefault="00463F9C" w:rsidP="00FF0E3F">
      <w:r>
        <w:t>(</w:t>
      </w:r>
      <w:r w:rsidR="00077ADD">
        <w:t xml:space="preserve">abgeleitet aus Art. 35 Abs. 7 </w:t>
      </w:r>
      <w:r w:rsidR="004763E6">
        <w:t xml:space="preserve">Buchstabe a) </w:t>
      </w:r>
      <w:r w:rsidR="00077ADD">
        <w:t>DSGVO</w:t>
      </w:r>
      <w:r>
        <w:t>)</w:t>
      </w:r>
    </w:p>
    <w:p w14:paraId="4C9FE278" w14:textId="77777777" w:rsidR="00077ADD" w:rsidRPr="00463F9C" w:rsidRDefault="00077ADD" w:rsidP="00FF0E3F">
      <w:pPr>
        <w:rPr>
          <w:i/>
        </w:rPr>
      </w:pPr>
      <w:r w:rsidRPr="00463F9C">
        <w:rPr>
          <w:i/>
        </w:rPr>
        <w:t>Systematische Beschreibung der geplanten Verarbeitungsvorgänge und der Zwecke der Verarbeitung, gegebenenfalls einschließlich der von den Verantwortlichen verfolgten berechtigten Interessen</w:t>
      </w:r>
    </w:p>
    <w:p w14:paraId="599F0F03" w14:textId="52138BCF" w:rsidR="004763E6" w:rsidRDefault="00DB219B" w:rsidP="00DB219B">
      <w:pPr>
        <w:pStyle w:val="Listenabsatz"/>
        <w:numPr>
          <w:ilvl w:val="0"/>
          <w:numId w:val="2"/>
        </w:numPr>
      </w:pPr>
      <w:r>
        <w:t>Vollständiges Verzeichnis der Verarbeitungen (VVT), das die Angaben nach Art. 30 DSGVO</w:t>
      </w:r>
      <w:r w:rsidR="004763E6">
        <w:t xml:space="preserve"> + notwendige Angaben für Informationspflichten und Rechenschaftspflichten</w:t>
      </w:r>
      <w:r w:rsidR="00463F9C">
        <w:t>, inklusive Ang</w:t>
      </w:r>
      <w:r w:rsidR="00463F9C">
        <w:t>a</w:t>
      </w:r>
      <w:r w:rsidR="00463F9C">
        <w:t>ben zu eigesetzter Technik</w:t>
      </w:r>
      <w:r>
        <w:t>, technischer Schnittstellen</w:t>
      </w:r>
      <w:r w:rsidR="00463F9C">
        <w:t xml:space="preserve"> und Software</w:t>
      </w:r>
      <w:r>
        <w:t xml:space="preserve"> enthält.</w:t>
      </w:r>
    </w:p>
    <w:p w14:paraId="460FD8CE" w14:textId="5046618D" w:rsidR="004763E6" w:rsidRDefault="004763E6" w:rsidP="00FF0E3F">
      <w:pPr>
        <w:pStyle w:val="Listenabsatz"/>
        <w:numPr>
          <w:ilvl w:val="0"/>
          <w:numId w:val="2"/>
        </w:numPr>
      </w:pPr>
      <w:r>
        <w:t>Systematische Beschreibung: Prozessbeschreibungen</w:t>
      </w:r>
      <w:r w:rsidR="00DB219B">
        <w:t>,</w:t>
      </w:r>
      <w:r>
        <w:t xml:space="preserve"> soweit personenbezogene Daten u</w:t>
      </w:r>
      <w:r>
        <w:t>n</w:t>
      </w:r>
      <w:r>
        <w:t xml:space="preserve">mittelbar </w:t>
      </w:r>
      <w:r w:rsidR="00DB219B">
        <w:t>oder</w:t>
      </w:r>
      <w:r>
        <w:t xml:space="preserve"> mittelbar betroffen</w:t>
      </w:r>
      <w:r w:rsidR="00DB219B">
        <w:t xml:space="preserve"> sind</w:t>
      </w:r>
      <w:r w:rsidR="00463F9C">
        <w:t xml:space="preserve">. </w:t>
      </w:r>
      <w:r w:rsidR="00DB219B">
        <w:t xml:space="preserve">Eine bestimmte Form ist hier nicht vorgeschrieben. Bei kleineren Verfahren kann auch eine geeignete Veranschaulichung auf Papier erfolgen. Es </w:t>
      </w:r>
      <w:r w:rsidR="00463F9C">
        <w:t>müssen</w:t>
      </w:r>
      <w:r w:rsidR="00DB219B">
        <w:t xml:space="preserve"> aber</w:t>
      </w:r>
      <w:r w:rsidR="00463F9C">
        <w:t xml:space="preserve"> Zugriffsberechtigungen Interne</w:t>
      </w:r>
      <w:r w:rsidR="00DB219B">
        <w:t>r</w:t>
      </w:r>
      <w:r w:rsidR="00463F9C">
        <w:t xml:space="preserve"> und Externer hervorgehen</w:t>
      </w:r>
      <w:r w:rsidR="00DB219B">
        <w:t xml:space="preserve"> und ggf. welche D</w:t>
      </w:r>
      <w:r w:rsidR="00DB219B">
        <w:t>a</w:t>
      </w:r>
      <w:r w:rsidR="00DB219B">
        <w:t>ten betroffen sind.</w:t>
      </w:r>
      <w:r w:rsidR="00463F9C">
        <w:t xml:space="preserve"> </w:t>
      </w:r>
    </w:p>
    <w:p w14:paraId="68FD3432" w14:textId="166AD09B" w:rsidR="00FF0E3F" w:rsidRDefault="00DB219B" w:rsidP="00463F9C">
      <w:r>
        <w:t xml:space="preserve">Die weiteren Mindestanforderungen </w:t>
      </w:r>
      <w:r w:rsidR="007A7A02">
        <w:t xml:space="preserve">aus Art. 35 Abs. 7 </w:t>
      </w:r>
      <w:r w:rsidR="004763E6">
        <w:t xml:space="preserve">Buchstaben b) – d) </w:t>
      </w:r>
      <w:r w:rsidR="007A7A02">
        <w:t xml:space="preserve">werden </w:t>
      </w:r>
      <w:r w:rsidR="004763E6">
        <w:t>erst bei der DSFA</w:t>
      </w:r>
      <w:r w:rsidR="007A7A02">
        <w:t xml:space="preserve"> geprüft. Buchstabe a) muss vorgezogen werden, weil sonst keine ausreichende Grundlage für die Beurteilung besteht.</w:t>
      </w:r>
    </w:p>
    <w:p w14:paraId="54C84871" w14:textId="2DA6693B" w:rsidR="00FF0E3F" w:rsidRDefault="00463F9C" w:rsidP="007A7A02">
      <w:pPr>
        <w:pStyle w:val="berschrift2"/>
        <w:numPr>
          <w:ilvl w:val="0"/>
          <w:numId w:val="20"/>
        </w:numPr>
      </w:pPr>
      <w:r>
        <w:t>Schwellwertanalyse durchführen</w:t>
      </w:r>
    </w:p>
    <w:p w14:paraId="228FEE92" w14:textId="34802601" w:rsidR="00F32E5E" w:rsidRDefault="00F32E5E" w:rsidP="00FF0E3F">
      <w:r>
        <w:t>Die Schwellwertanalyse erfolgt nach den Maßstäben in Art. 35 Abs. 1, 3 und 4 DSGVO</w:t>
      </w:r>
      <w:r w:rsidR="007A7A02">
        <w:t>, wobei in den Fällen von Art. 35 Abs. 3 und 4 DSGVO der Schwellwert stets überschritten und eine DSFA erforde</w:t>
      </w:r>
      <w:r w:rsidR="007A7A02">
        <w:t>r</w:t>
      </w:r>
      <w:r w:rsidR="007A7A02">
        <w:t>lich ist. Folgende Prüfreihenfolge bietet sich an</w:t>
      </w:r>
      <w:r>
        <w:t>:</w:t>
      </w:r>
    </w:p>
    <w:p w14:paraId="06C01083" w14:textId="77777777" w:rsidR="00F32E5E" w:rsidRDefault="0062127F" w:rsidP="0062127F">
      <w:pPr>
        <w:pStyle w:val="berschrift3"/>
      </w:pPr>
      <w:r>
        <w:t xml:space="preserve">Schritt 1: </w:t>
      </w:r>
      <w:r w:rsidR="00F32E5E">
        <w:t>Positivliste der Aufsichtsbehörde gemäß Art. 35 Abs. 4 DSGVO:</w:t>
      </w:r>
    </w:p>
    <w:p w14:paraId="11463148" w14:textId="0806D93F" w:rsidR="0062127F" w:rsidRDefault="007A7A02" w:rsidP="00FF0E3F">
      <w:r>
        <w:t xml:space="preserve">Fällt eine Verarbeitung unter die Positivliste der Aufsichtsbehörde gemäß Art. 35 Abs. 4 DSGVO, muss stets eine DSFA durchgeführt werden. Der LDI als zuständige Aufsichtsbehörde in NRW veröffentlicht eine Liste für den öffentlichen und nicht-öffentlichen Bereich. Für die öffentlichen Hochschulen ist die </w:t>
      </w:r>
      <w:r w:rsidR="0062127F">
        <w:t>Liste des LDI für den öffentlichen Bereich</w:t>
      </w:r>
      <w:r>
        <w:t xml:space="preserve"> maßgeblich</w:t>
      </w:r>
      <w:r w:rsidR="0062127F">
        <w:t>: https://www.ldi.nrw.de/mainmenu_Aktuelles/submenu_EU-Datenschutzreform/Inhalt/EU-Datenschutzreform/Liste-Art-35-4-NRW-OeB_v2.pdf</w:t>
      </w:r>
    </w:p>
    <w:p w14:paraId="007A5AC9" w14:textId="6739C6E6" w:rsidR="007A7A02" w:rsidRDefault="007A7A02" w:rsidP="00FF0E3F">
      <w:pPr>
        <w:rPr>
          <w:b/>
        </w:rPr>
      </w:pPr>
      <w:r>
        <w:rPr>
          <w:b/>
        </w:rPr>
        <w:t>Mögliche Ergebnisse in Schritt 1:</w:t>
      </w:r>
    </w:p>
    <w:p w14:paraId="4CDD59C4" w14:textId="553178C2" w:rsidR="00F32E5E" w:rsidRDefault="007A7A02" w:rsidP="00FF0E3F">
      <w:r>
        <w:rPr>
          <w:b/>
        </w:rPr>
        <w:t>Fällt unter die Positivliste</w:t>
      </w:r>
      <w:r w:rsidR="0062127F" w:rsidRPr="0062127F">
        <w:rPr>
          <w:b/>
        </w:rPr>
        <w:t>:</w:t>
      </w:r>
      <w:r>
        <w:rPr>
          <w:b/>
        </w:rPr>
        <w:t xml:space="preserve"> </w:t>
      </w:r>
      <w:bookmarkStart w:id="1" w:name="_Hlk529532035"/>
      <w:r w:rsidRPr="007A7A02">
        <w:t>Eine</w:t>
      </w:r>
      <w:r w:rsidR="0062127F">
        <w:t xml:space="preserve"> DSFA </w:t>
      </w:r>
      <w:r>
        <w:t xml:space="preserve">ist </w:t>
      </w:r>
      <w:r w:rsidR="0062127F">
        <w:t>erforderlich</w:t>
      </w:r>
      <w:r>
        <w:t>.</w:t>
      </w:r>
      <w:r w:rsidR="0062127F">
        <w:t xml:space="preserve"> </w:t>
      </w:r>
      <w:bookmarkStart w:id="2" w:name="_Hlk529383438"/>
      <w:r w:rsidR="0062127F">
        <w:t xml:space="preserve">Gegebenenfalls </w:t>
      </w:r>
      <w:r>
        <w:t>kann eine größere Verarbe</w:t>
      </w:r>
      <w:r>
        <w:t>i</w:t>
      </w:r>
      <w:r>
        <w:t>tung in mehrere kleinere Verarbeitungen aufgeteilt werden, um den Bereich für eine erforderliche DSFA zu verkleinern.</w:t>
      </w:r>
      <w:bookmarkEnd w:id="1"/>
    </w:p>
    <w:bookmarkEnd w:id="2"/>
    <w:p w14:paraId="62C9A066" w14:textId="77777777" w:rsidR="0062127F" w:rsidRDefault="0062127F" w:rsidP="00FF0E3F">
      <w:r w:rsidRPr="0062127F">
        <w:rPr>
          <w:b/>
        </w:rPr>
        <w:t>Wenn nein:</w:t>
      </w:r>
      <w:r w:rsidR="00CF48D3">
        <w:t xml:space="preserve"> Schritt 2</w:t>
      </w:r>
      <w:r>
        <w:t xml:space="preserve"> </w:t>
      </w:r>
    </w:p>
    <w:p w14:paraId="6C1B4DFB" w14:textId="0A2C6AFC" w:rsidR="00CF48D3" w:rsidRDefault="00CF48D3" w:rsidP="000D4CC2">
      <w:pPr>
        <w:pStyle w:val="berschrift3"/>
      </w:pPr>
      <w:r>
        <w:t>Schritt 2: Prüfung von Art</w:t>
      </w:r>
      <w:r w:rsidR="00437BB8">
        <w:t>.</w:t>
      </w:r>
      <w:r>
        <w:t xml:space="preserve"> 35 Abs. 3 DSGVO</w:t>
      </w:r>
    </w:p>
    <w:p w14:paraId="6E8B89B8" w14:textId="739DDCCC" w:rsidR="00CF48D3" w:rsidRDefault="00CF48D3" w:rsidP="00FF0E3F">
      <w:r>
        <w:t>In den folgenden</w:t>
      </w:r>
      <w:r w:rsidR="00437BB8">
        <w:t xml:space="preserve"> in Art. 35 Abs. 3 DSGVO geregelten</w:t>
      </w:r>
      <w:r>
        <w:t xml:space="preserve"> Fällen muss stets eines DSFA durchgeführt we</w:t>
      </w:r>
      <w:r>
        <w:t>r</w:t>
      </w:r>
      <w:r>
        <w:t>den:</w:t>
      </w:r>
    </w:p>
    <w:p w14:paraId="7A2F5BA4" w14:textId="77777777" w:rsidR="00CF48D3" w:rsidRDefault="00CF48D3" w:rsidP="00CF48D3">
      <w:pPr>
        <w:pStyle w:val="Listenabsatz"/>
        <w:numPr>
          <w:ilvl w:val="0"/>
          <w:numId w:val="4"/>
        </w:numPr>
      </w:pPr>
      <w:r>
        <w:t xml:space="preserve">Bei systematischer und umfassender Bewertung persönlicher Aspekte natürlicher Personen, die sich auf automatisierte Verarbeitung einschließlich </w:t>
      </w:r>
      <w:proofErr w:type="spellStart"/>
      <w:r>
        <w:t>Profiling</w:t>
      </w:r>
      <w:proofErr w:type="spellEnd"/>
      <w:r>
        <w:t xml:space="preserve"> gründet und die ihrerseits als Grundlage für Entscheidungen dient, die Rechtswirkung gegenüber natürlichen Personen entfalten oder diese in erheblicher Weise beeinträchtigen</w:t>
      </w:r>
      <w:r w:rsidRPr="00135FDA">
        <w:rPr>
          <w:i/>
        </w:rPr>
        <w:t>;</w:t>
      </w:r>
      <w:r w:rsidR="00135FDA" w:rsidRPr="00135FDA">
        <w:rPr>
          <w:i/>
        </w:rPr>
        <w:t xml:space="preserve"> Erwägungsgrund 71: „insbesond</w:t>
      </w:r>
      <w:r w:rsidR="00135FDA" w:rsidRPr="00135FDA">
        <w:rPr>
          <w:i/>
        </w:rPr>
        <w:t>e</w:t>
      </w:r>
      <w:r w:rsidR="00135FDA" w:rsidRPr="00135FDA">
        <w:rPr>
          <w:i/>
        </w:rPr>
        <w:t>re, wenn Aspekte, die die Arbeitsleistung, wirtschaftliche Lage, Gesundheit, persönliche Vo</w:t>
      </w:r>
      <w:r w:rsidR="00135FDA" w:rsidRPr="00135FDA">
        <w:rPr>
          <w:i/>
        </w:rPr>
        <w:t>r</w:t>
      </w:r>
      <w:r w:rsidR="00135FDA" w:rsidRPr="00135FDA">
        <w:rPr>
          <w:i/>
        </w:rPr>
        <w:lastRenderedPageBreak/>
        <w:t>lieben oder Interessen, die Zuverlässigkeit oder das Verhalten, den Aufenthaltsort oder Ort</w:t>
      </w:r>
      <w:r w:rsidR="00135FDA" w:rsidRPr="00135FDA">
        <w:rPr>
          <w:i/>
        </w:rPr>
        <w:t>s</w:t>
      </w:r>
      <w:r w:rsidR="00135FDA" w:rsidRPr="00135FDA">
        <w:rPr>
          <w:i/>
        </w:rPr>
        <w:t>wechsel betreffen, analysiert oder prognostiziert werden, um persönliche Profile zu erstellen oder zu nutzen</w:t>
      </w:r>
      <w:r w:rsidR="00135FDA">
        <w:rPr>
          <w:i/>
        </w:rPr>
        <w:t>.</w:t>
      </w:r>
    </w:p>
    <w:p w14:paraId="05DB8FE7" w14:textId="77777777" w:rsidR="000D4CC2" w:rsidRDefault="00CF48D3" w:rsidP="00CF48D3">
      <w:pPr>
        <w:pStyle w:val="Listenabsatz"/>
        <w:numPr>
          <w:ilvl w:val="0"/>
          <w:numId w:val="4"/>
        </w:numPr>
      </w:pPr>
      <w:r>
        <w:t xml:space="preserve">Bei umfänglicher Verarbeitung </w:t>
      </w:r>
      <w:r w:rsidR="000D4CC2">
        <w:t>besonderer Kategorien von personenbezogenen Daten gemäß Art. 9 Absatz 1 DSGVO oder von personenbezogenen Daten über strafrechtliche Verurteilu</w:t>
      </w:r>
      <w:r w:rsidR="000D4CC2">
        <w:t>n</w:t>
      </w:r>
      <w:r w:rsidR="000D4CC2">
        <w:t>gen und Straftaten gemäß Art. 10 DSGVO</w:t>
      </w:r>
      <w:r w:rsidR="0032609C">
        <w:t xml:space="preserve">; </w:t>
      </w:r>
      <w:r w:rsidR="0032609C" w:rsidRPr="0032609C">
        <w:rPr>
          <w:i/>
        </w:rPr>
        <w:t>Erwägungsgrund 75: wenn personenbezogene D</w:t>
      </w:r>
      <w:r w:rsidR="0032609C" w:rsidRPr="0032609C">
        <w:rPr>
          <w:i/>
        </w:rPr>
        <w:t>a</w:t>
      </w:r>
      <w:r w:rsidR="0032609C" w:rsidRPr="0032609C">
        <w:rPr>
          <w:i/>
        </w:rPr>
        <w:t>ten, aus denen die rassische oder ethnische Herkunft, politische Meinungen, religiöse oder weltanschauliche Überzeugungen oder die Zugehörigkeit zu einer Gewerkschaft hervorgehen, und genetische Daten, Gesundheitsdaten oder das Sexualleben oder strafrechtliche Verurte</w:t>
      </w:r>
      <w:r w:rsidR="0032609C" w:rsidRPr="0032609C">
        <w:rPr>
          <w:i/>
        </w:rPr>
        <w:t>i</w:t>
      </w:r>
      <w:r w:rsidR="0032609C" w:rsidRPr="0032609C">
        <w:rPr>
          <w:i/>
        </w:rPr>
        <w:t>lungen und Straftaten oder damit zusammenhängende Sicherungsmaßregeln betreffende D</w:t>
      </w:r>
      <w:r w:rsidR="0032609C" w:rsidRPr="0032609C">
        <w:rPr>
          <w:i/>
        </w:rPr>
        <w:t>a</w:t>
      </w:r>
      <w:r w:rsidR="0032609C" w:rsidRPr="0032609C">
        <w:rPr>
          <w:i/>
        </w:rPr>
        <w:t>ten verarbeitet werden</w:t>
      </w:r>
    </w:p>
    <w:p w14:paraId="532C44FE" w14:textId="77777777" w:rsidR="000D4CC2" w:rsidRDefault="000D4CC2" w:rsidP="000D4CC2">
      <w:pPr>
        <w:pStyle w:val="Listenabsatz"/>
        <w:numPr>
          <w:ilvl w:val="0"/>
          <w:numId w:val="4"/>
        </w:numPr>
      </w:pPr>
      <w:r>
        <w:t>Bei systematischer umfangreicher Überwachung öffentlich zugänglicher Bereiche.</w:t>
      </w:r>
    </w:p>
    <w:p w14:paraId="645FA754" w14:textId="66A0B376" w:rsidR="000D4CC2" w:rsidRPr="000D4CC2" w:rsidRDefault="00437BB8" w:rsidP="000D4CC2">
      <w:pPr>
        <w:rPr>
          <w:b/>
        </w:rPr>
      </w:pPr>
      <w:r>
        <w:rPr>
          <w:b/>
        </w:rPr>
        <w:t>Zur Auslegung gibt der</w:t>
      </w:r>
      <w:r w:rsidR="000D4CC2" w:rsidRPr="000D4CC2">
        <w:rPr>
          <w:b/>
        </w:rPr>
        <w:t xml:space="preserve"> LDI</w:t>
      </w:r>
      <w:r>
        <w:rPr>
          <w:b/>
        </w:rPr>
        <w:t xml:space="preserve"> die folgenden Hinweise</w:t>
      </w:r>
      <w:r w:rsidR="000D4CC2" w:rsidRPr="000D4CC2">
        <w:rPr>
          <w:b/>
        </w:rPr>
        <w:t>:</w:t>
      </w:r>
    </w:p>
    <w:p w14:paraId="44A3204D" w14:textId="7D18D723" w:rsidR="00FF0E3F" w:rsidRDefault="00437BB8" w:rsidP="000D4CC2">
      <w:r>
        <w:t xml:space="preserve">Hinsichtlich der </w:t>
      </w:r>
      <w:r w:rsidR="000D4CC2">
        <w:t xml:space="preserve">Größe </w:t>
      </w:r>
      <w:r>
        <w:t xml:space="preserve">des </w:t>
      </w:r>
      <w:r w:rsidR="000D4CC2">
        <w:t>Umfang</w:t>
      </w:r>
      <w:r>
        <w:t>s</w:t>
      </w:r>
      <w:r w:rsidR="000D4CC2">
        <w:t xml:space="preserve"> der Verarbeitung</w:t>
      </w:r>
      <w:r>
        <w:t xml:space="preserve"> ist nicht nur auf die </w:t>
      </w:r>
      <w:r w:rsidR="000D4CC2">
        <w:t xml:space="preserve">Zahl der Personen </w:t>
      </w:r>
      <w:r>
        <w:t>abz</w:t>
      </w:r>
      <w:r>
        <w:t>u</w:t>
      </w:r>
      <w:r>
        <w:t>stellen, sondern auch auf den</w:t>
      </w:r>
      <w:r w:rsidR="000D4CC2">
        <w:t xml:space="preserve"> Umfang der Angaben</w:t>
      </w:r>
      <w:r>
        <w:t>.</w:t>
      </w:r>
      <w:r w:rsidR="00CF48D3">
        <w:t xml:space="preserve"> </w:t>
      </w:r>
    </w:p>
    <w:p w14:paraId="6218FCDF" w14:textId="03CCD471" w:rsidR="00624D0B" w:rsidRDefault="00624D0B" w:rsidP="00FF0E3F">
      <w:pPr>
        <w:rPr>
          <w:b/>
        </w:rPr>
      </w:pPr>
      <w:bookmarkStart w:id="3" w:name="_Hlk529192077"/>
      <w:r>
        <w:rPr>
          <w:b/>
        </w:rPr>
        <w:t>Mögliche Ergebnisse in Schritt 2:</w:t>
      </w:r>
    </w:p>
    <w:p w14:paraId="411AFB32" w14:textId="434DB6AB" w:rsidR="00FF0E3F" w:rsidRDefault="00624D0B" w:rsidP="00FF0E3F">
      <w:r>
        <w:rPr>
          <w:b/>
        </w:rPr>
        <w:t>Voraussetzungen Art. 35 Abs. 3 DSGVO gegeben</w:t>
      </w:r>
      <w:r w:rsidR="000D4CC2" w:rsidRPr="000D4CC2">
        <w:rPr>
          <w:b/>
        </w:rPr>
        <w:t>:</w:t>
      </w:r>
      <w:r w:rsidR="000D4CC2">
        <w:t xml:space="preserve"> </w:t>
      </w:r>
      <w:r>
        <w:t xml:space="preserve">Eine </w:t>
      </w:r>
      <w:r w:rsidR="000D4CC2">
        <w:t>DSFA</w:t>
      </w:r>
      <w:r>
        <w:t xml:space="preserve"> ist</w:t>
      </w:r>
      <w:r w:rsidR="000D4CC2">
        <w:t xml:space="preserve"> erforderlich</w:t>
      </w:r>
      <w:r>
        <w:t>.</w:t>
      </w:r>
      <w:r w:rsidR="000D4CC2">
        <w:t xml:space="preserve"> </w:t>
      </w:r>
      <w:r>
        <w:t>Gegebenenfalls kann eine größere Verarbeitung in mehrere kleinere Verarbeitungen aufgeteilt werden, um den Bereich für eine erforderliche DSFA zu verkleinern.</w:t>
      </w:r>
    </w:p>
    <w:p w14:paraId="4323831B" w14:textId="77777777" w:rsidR="000D4CC2" w:rsidRDefault="000D4CC2" w:rsidP="00FF0E3F">
      <w:r w:rsidRPr="000D4CC2">
        <w:rPr>
          <w:b/>
        </w:rPr>
        <w:t>Wenn nein:</w:t>
      </w:r>
      <w:r>
        <w:t xml:space="preserve"> Schritt 3</w:t>
      </w:r>
      <w:bookmarkEnd w:id="3"/>
    </w:p>
    <w:p w14:paraId="446989C3" w14:textId="77777777" w:rsidR="000D4CC2" w:rsidRDefault="000D4CC2" w:rsidP="002E758F">
      <w:pPr>
        <w:pStyle w:val="berschrift3"/>
      </w:pPr>
      <w:r>
        <w:t>Schritt 3: Andere hochriskante Verarbeitungstätigkeiten</w:t>
      </w:r>
    </w:p>
    <w:p w14:paraId="1FD6C759" w14:textId="77777777" w:rsidR="000D4CC2" w:rsidRDefault="000D4CC2" w:rsidP="00FF0E3F">
      <w:r>
        <w:t>Auch wenn nach den vorgenannten Schritten keine DSFA erforderlich ist, muss im Rahmen der Schwellwertanalyse geprüft werden, ob nach den Kriterien des Art. 35 Abs. 1 DSGVO gegebenenfalls eine an</w:t>
      </w:r>
      <w:r w:rsidR="00443A35">
        <w:t>dere hochriskante Verarbeitungstätigkeit ausgeübt wird. Beim Begriff des Risikos verweisen die Aufsicht</w:t>
      </w:r>
      <w:r w:rsidR="00B831CA">
        <w:t xml:space="preserve">sbehörden auf die </w:t>
      </w:r>
      <w:r w:rsidR="00B831CA" w:rsidRPr="00B831CA">
        <w:rPr>
          <w:i/>
        </w:rPr>
        <w:t>Leitlinien zur Datenschutz-Folgenabschätzung (DSFA) und Beantwo</w:t>
      </w:r>
      <w:r w:rsidR="00B831CA" w:rsidRPr="00B831CA">
        <w:rPr>
          <w:i/>
        </w:rPr>
        <w:t>r</w:t>
      </w:r>
      <w:r w:rsidR="00B831CA" w:rsidRPr="00B831CA">
        <w:rPr>
          <w:i/>
        </w:rPr>
        <w:t>tung der Frage, ob eine Verarbeitung im Sinne der Verordnung 2016/679 „wahrscheinlich ein hohes Risiko mit sich bringt“</w:t>
      </w:r>
      <w:r w:rsidR="00B831CA">
        <w:t xml:space="preserve"> der Art. 29 Datenschutzgruppe.</w:t>
      </w:r>
    </w:p>
    <w:p w14:paraId="0DAA5C14" w14:textId="77777777" w:rsidR="00FF0E3F" w:rsidRDefault="00B831CA" w:rsidP="00FF0E3F">
      <w:r>
        <w:t>Kriterien zur Einordnung der Verarbeitungsvorgänge:</w:t>
      </w:r>
    </w:p>
    <w:p w14:paraId="5B9B2E53" w14:textId="77777777" w:rsidR="0032609C" w:rsidRDefault="0032609C" w:rsidP="0032609C">
      <w:pPr>
        <w:pStyle w:val="Listenabsatz"/>
        <w:numPr>
          <w:ilvl w:val="0"/>
          <w:numId w:val="16"/>
        </w:numPr>
      </w:pPr>
      <w:r>
        <w:t>Bewerten oder Einstufen (Scoring)</w:t>
      </w:r>
    </w:p>
    <w:p w14:paraId="6B4D15CB" w14:textId="77777777" w:rsidR="0032609C" w:rsidRDefault="0032609C" w:rsidP="0032609C">
      <w:pPr>
        <w:pStyle w:val="Listenabsatz"/>
        <w:numPr>
          <w:ilvl w:val="0"/>
          <w:numId w:val="16"/>
        </w:numPr>
      </w:pPr>
      <w:r w:rsidRPr="0032609C">
        <w:t xml:space="preserve">Automatisierte Entscheidungsfindung mit Rechtswirkung oder ähnlich bedeutsamer Wirkung </w:t>
      </w:r>
    </w:p>
    <w:p w14:paraId="0749FF51" w14:textId="77777777" w:rsidR="0032609C" w:rsidRDefault="0032609C" w:rsidP="0032609C">
      <w:pPr>
        <w:pStyle w:val="Listenabsatz"/>
        <w:numPr>
          <w:ilvl w:val="0"/>
          <w:numId w:val="16"/>
        </w:numPr>
      </w:pPr>
      <w:r w:rsidRPr="0032609C">
        <w:t xml:space="preserve">Systematische Überwachung </w:t>
      </w:r>
    </w:p>
    <w:p w14:paraId="3CD46F90" w14:textId="77777777" w:rsidR="00B831CA" w:rsidRDefault="00B831CA" w:rsidP="0032609C">
      <w:pPr>
        <w:pStyle w:val="Listenabsatz"/>
        <w:numPr>
          <w:ilvl w:val="0"/>
          <w:numId w:val="16"/>
        </w:numPr>
      </w:pPr>
      <w:r>
        <w:t>Vertrauliche oder höchst persönliche Daten</w:t>
      </w:r>
    </w:p>
    <w:p w14:paraId="3CC8B670" w14:textId="77777777" w:rsidR="0032609C" w:rsidRDefault="0032609C" w:rsidP="0032609C">
      <w:pPr>
        <w:pStyle w:val="Listenabsatz"/>
        <w:numPr>
          <w:ilvl w:val="0"/>
          <w:numId w:val="16"/>
        </w:numPr>
      </w:pPr>
      <w:r w:rsidRPr="0032609C">
        <w:t xml:space="preserve">Datenverarbeitung in großem Umfang </w:t>
      </w:r>
    </w:p>
    <w:p w14:paraId="7B0BB955" w14:textId="77777777" w:rsidR="00E052E6" w:rsidRDefault="00E052E6" w:rsidP="0032609C">
      <w:pPr>
        <w:pStyle w:val="Listenabsatz"/>
        <w:numPr>
          <w:ilvl w:val="0"/>
          <w:numId w:val="16"/>
        </w:numPr>
      </w:pPr>
      <w:r w:rsidRPr="00E052E6">
        <w:t xml:space="preserve">Abgleichen oder Zusammenführen von Datensätzen </w:t>
      </w:r>
    </w:p>
    <w:p w14:paraId="0BD1D922" w14:textId="77777777" w:rsidR="00B831CA" w:rsidRDefault="00B831CA" w:rsidP="0032609C">
      <w:pPr>
        <w:pStyle w:val="Listenabsatz"/>
        <w:numPr>
          <w:ilvl w:val="0"/>
          <w:numId w:val="16"/>
        </w:numPr>
      </w:pPr>
      <w:r>
        <w:t>Daten zu schutzbedürftigen Betroffenen</w:t>
      </w:r>
    </w:p>
    <w:p w14:paraId="0C83AC85" w14:textId="77777777" w:rsidR="00B831CA" w:rsidRDefault="00B831CA" w:rsidP="00E052E6">
      <w:pPr>
        <w:pStyle w:val="Listenabsatz"/>
        <w:numPr>
          <w:ilvl w:val="0"/>
          <w:numId w:val="16"/>
        </w:numPr>
      </w:pPr>
      <w:r>
        <w:t>Innovative Nutzung oder Anwendung neuer technologischer oder organisatorischer Lösu</w:t>
      </w:r>
      <w:r>
        <w:t>n</w:t>
      </w:r>
      <w:r>
        <w:t>gen</w:t>
      </w:r>
    </w:p>
    <w:p w14:paraId="327E2284" w14:textId="77777777" w:rsidR="00B831CA" w:rsidRDefault="00B831CA" w:rsidP="00E052E6">
      <w:pPr>
        <w:pStyle w:val="Listenabsatz"/>
        <w:numPr>
          <w:ilvl w:val="0"/>
          <w:numId w:val="16"/>
        </w:numPr>
      </w:pPr>
      <w:r>
        <w:t>Betroffene werden an der Ausübung eines Rechts oder der Nutzung einer Dienstleistung bzw. Durchführung eines Vertrags gehindert</w:t>
      </w:r>
    </w:p>
    <w:p w14:paraId="050F9E83" w14:textId="36D43D82" w:rsidR="00D645C3" w:rsidRDefault="00B831CA" w:rsidP="00D645C3">
      <w:r>
        <w:t xml:space="preserve">Werden zwei oder mehr </w:t>
      </w:r>
      <w:r w:rsidR="00624D0B">
        <w:t xml:space="preserve">der vorgenannten </w:t>
      </w:r>
      <w:r>
        <w:t>Kriterien durch eine Verarbeitung erfüllt, muss eine DSFA durchgeführt werden.</w:t>
      </w:r>
      <w:r w:rsidR="00FF6B5A">
        <w:t xml:space="preserve"> </w:t>
      </w:r>
      <w:r>
        <w:t>In Einzelfällen kann bereits die Erfüllung eines Kriteriums ausreichen</w:t>
      </w:r>
      <w:r w:rsidR="00C466AF">
        <w:t>, wenn ein besonders hohes Risiko besteht.</w:t>
      </w:r>
      <w:r w:rsidR="00FF6B5A">
        <w:t xml:space="preserve"> Da die Kriterien der Art. 29 Datenschutzgruppe immer noch sehr viel Interpretationsspielraum belassen, ist eine weiter Konkretisierung erforderlich. Die Datenschutzau</w:t>
      </w:r>
      <w:r w:rsidR="00FF6B5A">
        <w:t>f</w:t>
      </w:r>
      <w:r w:rsidR="00FF6B5A">
        <w:lastRenderedPageBreak/>
        <w:t xml:space="preserve">sichtsbehörden gehen in informellen Gesprächen davon aus, dass eine DSFA eher die Ausnahme als die Regel sein wird. Dies spricht eher für eine restriktive Auslegung der Kriterien. Dies soll Eingang in weitere Konkretisierung der Kriterien finden. Neben der Konkretisierung sollen </w:t>
      </w:r>
      <w:r w:rsidR="007320D0">
        <w:t>Beispiele aus dem Hochschulbereich genannt werden, wobei nicht nur Positiv- sondern auch Negativbeispiele genannt werden sollen, bei deren Vorliegen keine DSFA erforderlich ist. Die Konkretisierung erfolgt auf Basis der folgenden Liste, die durch die Vorarbeit der Ruhr-Universität Bochum</w:t>
      </w:r>
      <w:r w:rsidR="00913F83">
        <w:t xml:space="preserve"> durch Dr. Kai-Uwe Loser</w:t>
      </w:r>
      <w:r w:rsidR="007320D0">
        <w:t xml:space="preserve"> entstanden ist:</w:t>
      </w:r>
    </w:p>
    <w:p w14:paraId="1FF6213D" w14:textId="77777777" w:rsidR="00913F83" w:rsidRPr="00D645C3" w:rsidRDefault="00913F83" w:rsidP="00D645C3"/>
    <w:tbl>
      <w:tblPr>
        <w:tblW w:w="8757" w:type="dxa"/>
        <w:tblInd w:w="-5" w:type="dxa"/>
        <w:tblBorders>
          <w:top w:val="single" w:sz="4" w:space="0" w:color="000001"/>
          <w:bottom w:val="single" w:sz="4" w:space="0" w:color="000001"/>
          <w:insideH w:val="single" w:sz="4" w:space="0" w:color="000001"/>
        </w:tblBorders>
        <w:tblLook w:val="0000" w:firstRow="0" w:lastRow="0" w:firstColumn="0" w:lastColumn="0" w:noHBand="0" w:noVBand="0"/>
      </w:tblPr>
      <w:tblGrid>
        <w:gridCol w:w="4253"/>
        <w:gridCol w:w="4504"/>
      </w:tblGrid>
      <w:tr w:rsidR="00D645C3" w:rsidRPr="00D645C3" w14:paraId="67AAFAFE" w14:textId="77777777" w:rsidTr="002164A4">
        <w:tc>
          <w:tcPr>
            <w:tcW w:w="4253" w:type="dxa"/>
            <w:tcBorders>
              <w:top w:val="single" w:sz="4" w:space="0" w:color="000001"/>
              <w:bottom w:val="single" w:sz="4" w:space="0" w:color="000001"/>
            </w:tcBorders>
            <w:shd w:val="clear" w:color="auto" w:fill="auto"/>
          </w:tcPr>
          <w:p w14:paraId="4340BA8B" w14:textId="77777777" w:rsidR="00D645C3" w:rsidRPr="00D645C3" w:rsidRDefault="00D645C3" w:rsidP="00D645C3">
            <w:pPr>
              <w:numPr>
                <w:ilvl w:val="0"/>
                <w:numId w:val="23"/>
              </w:numPr>
            </w:pPr>
            <w:r w:rsidRPr="00D645C3">
              <w:rPr>
                <w:b/>
                <w:u w:val="single"/>
              </w:rPr>
              <w:t>Verarbeitungen um zu Bewerten oder Einzustufen</w:t>
            </w:r>
            <w:r w:rsidRPr="00D645C3">
              <w:t xml:space="preserve">, darunter das Erstellen von Profilen und Prognosen, insbesondere auf der Grundlage von </w:t>
            </w:r>
            <w:r w:rsidRPr="00D645C3">
              <w:rPr>
                <w:i/>
              </w:rPr>
              <w:t>„Aspekten, die die Arbeitsleistung, wirtschaftliche Lage, G</w:t>
            </w:r>
            <w:r w:rsidRPr="00D645C3">
              <w:rPr>
                <w:i/>
              </w:rPr>
              <w:t>e</w:t>
            </w:r>
            <w:r w:rsidRPr="00D645C3">
              <w:rPr>
                <w:i/>
              </w:rPr>
              <w:t>sundheit, persönliche Vorlieben oder I</w:t>
            </w:r>
            <w:r w:rsidRPr="00D645C3">
              <w:rPr>
                <w:i/>
              </w:rPr>
              <w:t>n</w:t>
            </w:r>
            <w:r w:rsidRPr="00D645C3">
              <w:rPr>
                <w:i/>
              </w:rPr>
              <w:t>teressen, die Zuverlässigkeit oder das Verhalten, den Aufenthaltsort oder Ortswechsel der Person betreffen“</w:t>
            </w:r>
            <w:r w:rsidRPr="00D645C3">
              <w:t xml:space="preserve"> (</w:t>
            </w:r>
            <w:proofErr w:type="spellStart"/>
            <w:r w:rsidRPr="00D645C3">
              <w:t>ErwG</w:t>
            </w:r>
            <w:proofErr w:type="spellEnd"/>
            <w:r w:rsidRPr="00D645C3">
              <w:t xml:space="preserve"> 70 und 91 DS-GVO)</w:t>
            </w:r>
          </w:p>
        </w:tc>
        <w:tc>
          <w:tcPr>
            <w:tcW w:w="4503" w:type="dxa"/>
            <w:tcBorders>
              <w:top w:val="single" w:sz="4" w:space="0" w:color="000001"/>
              <w:bottom w:val="single" w:sz="4" w:space="0" w:color="000001"/>
            </w:tcBorders>
            <w:shd w:val="clear" w:color="auto" w:fill="auto"/>
          </w:tcPr>
          <w:p w14:paraId="25412DC1" w14:textId="77777777" w:rsidR="00D645C3" w:rsidRPr="00D645C3" w:rsidRDefault="00D645C3" w:rsidP="00D645C3">
            <w:r w:rsidRPr="00D645C3">
              <w:t xml:space="preserve">Hierfür seien zur Veranschaulichung folgende drei Beispiele genannt: </w:t>
            </w:r>
          </w:p>
          <w:p w14:paraId="508514FC" w14:textId="77777777" w:rsidR="00D645C3" w:rsidRPr="00D645C3" w:rsidRDefault="00D645C3" w:rsidP="00D645C3">
            <w:r w:rsidRPr="00D645C3">
              <w:t>1) eine Biotechnologieforschung, bei dem man sich zwecks genetischer Tests direkt an Bürger wendet, um die Erkrankungs-/Gesundheitsrisiken abschätzen bzw. progno</w:t>
            </w:r>
            <w:r w:rsidRPr="00D645C3">
              <w:t>s</w:t>
            </w:r>
            <w:r w:rsidRPr="00D645C3">
              <w:t xml:space="preserve">tizieren zu können, </w:t>
            </w:r>
          </w:p>
          <w:p w14:paraId="325A8483" w14:textId="77777777" w:rsidR="00D645C3" w:rsidRDefault="00D645C3" w:rsidP="00D645C3">
            <w:r w:rsidRPr="00D645C3">
              <w:t>2) Forschung bei der zum Ausschluss Proba</w:t>
            </w:r>
            <w:r w:rsidRPr="00D645C3">
              <w:t>n</w:t>
            </w:r>
            <w:r w:rsidRPr="00D645C3">
              <w:t>den hinsichtlich bestimmter medizinischer Ind</w:t>
            </w:r>
            <w:r w:rsidRPr="00D645C3">
              <w:t>i</w:t>
            </w:r>
            <w:r w:rsidRPr="00D645C3">
              <w:t>kationen untersucht werden.</w:t>
            </w:r>
          </w:p>
          <w:p w14:paraId="1C82F984" w14:textId="780BBBED" w:rsidR="00173770" w:rsidRPr="00D645C3" w:rsidRDefault="00173770" w:rsidP="00D645C3">
            <w:r w:rsidRPr="007125DA">
              <w:rPr>
                <w:highlight w:val="yellow"/>
              </w:rPr>
              <w:t>3) eine Verwendung der BI eines Campus-Management-Systems um nach bestimmten Kriterien nach Studierenden zu suchen, die Merkmale für ein erhöhtes Risiko eines Stud</w:t>
            </w:r>
            <w:r w:rsidRPr="007125DA">
              <w:rPr>
                <w:highlight w:val="yellow"/>
              </w:rPr>
              <w:t>i</w:t>
            </w:r>
            <w:r w:rsidRPr="007125DA">
              <w:rPr>
                <w:highlight w:val="yellow"/>
              </w:rPr>
              <w:t>enabbruchs aufweisen um diese proaktiv a</w:t>
            </w:r>
            <w:r w:rsidRPr="007125DA">
              <w:rPr>
                <w:highlight w:val="yellow"/>
              </w:rPr>
              <w:t>n</w:t>
            </w:r>
            <w:r w:rsidRPr="007125DA">
              <w:rPr>
                <w:highlight w:val="yellow"/>
              </w:rPr>
              <w:t>sprechen zu können.</w:t>
            </w:r>
          </w:p>
        </w:tc>
      </w:tr>
      <w:tr w:rsidR="00D645C3" w:rsidRPr="00D645C3" w14:paraId="0C0C0A58" w14:textId="77777777" w:rsidTr="002164A4">
        <w:tc>
          <w:tcPr>
            <w:tcW w:w="4253" w:type="dxa"/>
            <w:tcBorders>
              <w:top w:val="single" w:sz="4" w:space="0" w:color="000001"/>
              <w:bottom w:val="single" w:sz="4" w:space="0" w:color="000001"/>
            </w:tcBorders>
            <w:shd w:val="clear" w:color="auto" w:fill="auto"/>
          </w:tcPr>
          <w:p w14:paraId="256BCB66" w14:textId="77777777" w:rsidR="00D645C3" w:rsidRPr="00D645C3" w:rsidRDefault="00D645C3" w:rsidP="00D645C3">
            <w:pPr>
              <w:numPr>
                <w:ilvl w:val="0"/>
                <w:numId w:val="23"/>
              </w:numPr>
            </w:pPr>
            <w:r w:rsidRPr="00D645C3">
              <w:rPr>
                <w:b/>
                <w:u w:val="single"/>
              </w:rPr>
              <w:t>Automatisierte Entscheidungsfindung mit Rechtswirkung oder ähnlich b</w:t>
            </w:r>
            <w:r w:rsidRPr="00D645C3">
              <w:rPr>
                <w:b/>
                <w:u w:val="single"/>
              </w:rPr>
              <w:t>e</w:t>
            </w:r>
            <w:r w:rsidRPr="00D645C3">
              <w:rPr>
                <w:b/>
                <w:u w:val="single"/>
              </w:rPr>
              <w:t>deutsamer Wirkung</w:t>
            </w:r>
            <w:r w:rsidRPr="00D645C3">
              <w:rPr>
                <w:b/>
              </w:rPr>
              <w:t>:</w:t>
            </w:r>
            <w:r w:rsidRPr="00D645C3">
              <w:t xml:space="preserve"> Verarbeitung, auf deren Grundlage für Betroffene En</w:t>
            </w:r>
            <w:r w:rsidRPr="00D645C3">
              <w:t>t</w:t>
            </w:r>
            <w:r w:rsidRPr="00D645C3">
              <w:t>scheidungen getroffen werden sollen, „</w:t>
            </w:r>
            <w:r w:rsidRPr="00D645C3">
              <w:rPr>
                <w:i/>
              </w:rPr>
              <w:t>die Rechtswirkung gegenüber natürl</w:t>
            </w:r>
            <w:r w:rsidRPr="00D645C3">
              <w:rPr>
                <w:i/>
              </w:rPr>
              <w:t>i</w:t>
            </w:r>
            <w:r w:rsidRPr="00D645C3">
              <w:rPr>
                <w:i/>
              </w:rPr>
              <w:t>chen Personen entfalten</w:t>
            </w:r>
            <w:r w:rsidRPr="00D645C3">
              <w:t>“ oder diese „</w:t>
            </w:r>
            <w:r w:rsidRPr="00D645C3">
              <w:rPr>
                <w:i/>
              </w:rPr>
              <w:t>in ähnlich erheblicher Weise beeinträcht</w:t>
            </w:r>
            <w:r w:rsidRPr="00D645C3">
              <w:rPr>
                <w:i/>
              </w:rPr>
              <w:t>i</w:t>
            </w:r>
            <w:r w:rsidRPr="00D645C3">
              <w:rPr>
                <w:i/>
              </w:rPr>
              <w:t>gen</w:t>
            </w:r>
            <w:r w:rsidRPr="00D645C3">
              <w:t xml:space="preserve">“ (Art. 35 Abs. 3 </w:t>
            </w:r>
            <w:proofErr w:type="spellStart"/>
            <w:r w:rsidRPr="00D645C3">
              <w:t>lit</w:t>
            </w:r>
            <w:proofErr w:type="spellEnd"/>
            <w:r w:rsidRPr="00D645C3">
              <w:t xml:space="preserve"> a). </w:t>
            </w:r>
          </w:p>
        </w:tc>
        <w:tc>
          <w:tcPr>
            <w:tcW w:w="4503" w:type="dxa"/>
            <w:tcBorders>
              <w:top w:val="single" w:sz="4" w:space="0" w:color="000001"/>
              <w:bottom w:val="single" w:sz="4" w:space="0" w:color="000001"/>
            </w:tcBorders>
            <w:shd w:val="clear" w:color="auto" w:fill="auto"/>
          </w:tcPr>
          <w:p w14:paraId="1AE64D24" w14:textId="77777777" w:rsidR="00D645C3" w:rsidRDefault="00D645C3" w:rsidP="00D645C3">
            <w:r w:rsidRPr="00D645C3">
              <w:t>Die Verarbeitung kann beispielsweise zum Au</w:t>
            </w:r>
            <w:r w:rsidRPr="00D645C3">
              <w:t>s</w:t>
            </w:r>
            <w:r w:rsidRPr="00D645C3">
              <w:t>schluss oder zur Benachteiligung von Personen führen. Z.B. Plagiatssoftware, oder Verarbe</w:t>
            </w:r>
            <w:r w:rsidRPr="00D645C3">
              <w:t>i</w:t>
            </w:r>
            <w:r w:rsidRPr="00D645C3">
              <w:t>tungen, die die Studienleistung automatisiert beurteilen könnten hier in Frage kommen. Ve</w:t>
            </w:r>
            <w:r w:rsidRPr="00D645C3">
              <w:t>r</w:t>
            </w:r>
            <w:r w:rsidRPr="00D645C3">
              <w:t>arbeitungsvorgänge, die keine oder wenige Auswirkungen auf Personen haben, erfüllen nicht dieses spezielle Kriterium.</w:t>
            </w:r>
          </w:p>
          <w:p w14:paraId="3366DBD3" w14:textId="6D31EFDE" w:rsidR="00173770" w:rsidRPr="00D645C3" w:rsidRDefault="00173770" w:rsidP="00D645C3">
            <w:r w:rsidRPr="007125DA">
              <w:rPr>
                <w:highlight w:val="yellow"/>
              </w:rPr>
              <w:t>Die automatische Erstellung von Listen au</w:t>
            </w:r>
            <w:r w:rsidRPr="007125DA">
              <w:rPr>
                <w:highlight w:val="yellow"/>
              </w:rPr>
              <w:t>f</w:t>
            </w:r>
            <w:r w:rsidRPr="007125DA">
              <w:rPr>
                <w:highlight w:val="yellow"/>
              </w:rPr>
              <w:t>grund derer eine Entscheidung getroffen wird (</w:t>
            </w:r>
            <w:r w:rsidR="007125DA" w:rsidRPr="007125DA">
              <w:rPr>
                <w:highlight w:val="yellow"/>
              </w:rPr>
              <w:t xml:space="preserve">z.B. </w:t>
            </w:r>
            <w:r w:rsidRPr="007125DA">
              <w:rPr>
                <w:highlight w:val="yellow"/>
              </w:rPr>
              <w:t>Studienplatzbewerbung</w:t>
            </w:r>
            <w:r w:rsidR="007125DA" w:rsidRPr="007125DA">
              <w:rPr>
                <w:highlight w:val="yellow"/>
              </w:rPr>
              <w:t>, Teilnahme an einer zugangsbeschränkten Lehrveranstaltung)</w:t>
            </w:r>
            <w:r w:rsidRPr="007125DA">
              <w:rPr>
                <w:highlight w:val="yellow"/>
              </w:rPr>
              <w:t>, erfüllt nicht dieses Kriterium, wenn aufgrund feststehender Kriterien die gleiche Rangfolge auch bei einer manuellen Auflistung herausk</w:t>
            </w:r>
            <w:r w:rsidRPr="007125DA">
              <w:rPr>
                <w:highlight w:val="yellow"/>
              </w:rPr>
              <w:t>ä</w:t>
            </w:r>
            <w:r w:rsidRPr="007125DA">
              <w:rPr>
                <w:highlight w:val="yellow"/>
              </w:rPr>
              <w:t>me. Es besteht dann kein spezielles Risiko au</w:t>
            </w:r>
            <w:r w:rsidRPr="007125DA">
              <w:rPr>
                <w:highlight w:val="yellow"/>
              </w:rPr>
              <w:t>f</w:t>
            </w:r>
            <w:r w:rsidRPr="007125DA">
              <w:rPr>
                <w:highlight w:val="yellow"/>
              </w:rPr>
              <w:t>grund der Automatisierung.</w:t>
            </w:r>
          </w:p>
        </w:tc>
      </w:tr>
      <w:tr w:rsidR="00D645C3" w:rsidRPr="00D645C3" w14:paraId="0A71B8C5" w14:textId="77777777" w:rsidTr="002164A4">
        <w:tc>
          <w:tcPr>
            <w:tcW w:w="4253" w:type="dxa"/>
            <w:tcBorders>
              <w:top w:val="single" w:sz="4" w:space="0" w:color="000001"/>
              <w:bottom w:val="single" w:sz="4" w:space="0" w:color="000001"/>
            </w:tcBorders>
            <w:shd w:val="clear" w:color="auto" w:fill="auto"/>
          </w:tcPr>
          <w:p w14:paraId="44F57988" w14:textId="77777777" w:rsidR="00D645C3" w:rsidRPr="00D645C3" w:rsidRDefault="00D645C3" w:rsidP="00D645C3">
            <w:pPr>
              <w:numPr>
                <w:ilvl w:val="0"/>
                <w:numId w:val="23"/>
              </w:numPr>
            </w:pPr>
            <w:r w:rsidRPr="00D645C3">
              <w:rPr>
                <w:b/>
                <w:u w:val="single"/>
              </w:rPr>
              <w:t>Systematische Überwachung</w:t>
            </w:r>
            <w:r w:rsidRPr="00D645C3">
              <w:rPr>
                <w:b/>
              </w:rPr>
              <w:t>:</w:t>
            </w:r>
            <w:r w:rsidRPr="00D645C3">
              <w:t xml:space="preserve"> Verarbe</w:t>
            </w:r>
            <w:r w:rsidRPr="00D645C3">
              <w:t>i</w:t>
            </w:r>
            <w:r w:rsidRPr="00D645C3">
              <w:t xml:space="preserve">tungsvorgänge, die die Beobachtung, </w:t>
            </w:r>
            <w:r w:rsidRPr="00D645C3">
              <w:lastRenderedPageBreak/>
              <w:t>Überwachung oder Kontrolle von B</w:t>
            </w:r>
            <w:r w:rsidRPr="00D645C3">
              <w:t>e</w:t>
            </w:r>
            <w:r w:rsidRPr="00D645C3">
              <w:t>troffenen zum Ziel haben und auf be</w:t>
            </w:r>
            <w:r w:rsidRPr="00D645C3">
              <w:t>i</w:t>
            </w:r>
            <w:r w:rsidRPr="00D645C3">
              <w:t>spielsweise über Netzwerke erfasste D</w:t>
            </w:r>
            <w:r w:rsidRPr="00D645C3">
              <w:t>a</w:t>
            </w:r>
            <w:r w:rsidRPr="00D645C3">
              <w:t>ten oder auf „</w:t>
            </w:r>
            <w:r w:rsidRPr="00D645C3">
              <w:rPr>
                <w:i/>
              </w:rPr>
              <w:t>eine systematische [...] Überwachung öffentlich zugänglicher Bereiche</w:t>
            </w:r>
            <w:r w:rsidRPr="00D645C3">
              <w:t xml:space="preserve">“ (Art. 35 Abs. 3 </w:t>
            </w:r>
            <w:proofErr w:type="spellStart"/>
            <w:r w:rsidRPr="00D645C3">
              <w:t>lit</w:t>
            </w:r>
            <w:proofErr w:type="spellEnd"/>
            <w:r w:rsidRPr="00D645C3">
              <w:t>. c) zurüc</w:t>
            </w:r>
            <w:r w:rsidRPr="00D645C3">
              <w:t>k</w:t>
            </w:r>
            <w:r w:rsidRPr="00D645C3">
              <w:t>greifen.</w:t>
            </w:r>
          </w:p>
        </w:tc>
        <w:tc>
          <w:tcPr>
            <w:tcW w:w="4503" w:type="dxa"/>
            <w:tcBorders>
              <w:top w:val="single" w:sz="4" w:space="0" w:color="000001"/>
              <w:bottom w:val="single" w:sz="4" w:space="0" w:color="000001"/>
            </w:tcBorders>
            <w:shd w:val="clear" w:color="auto" w:fill="auto"/>
          </w:tcPr>
          <w:p w14:paraId="4109F6FB" w14:textId="77777777" w:rsidR="00D645C3" w:rsidRDefault="00D645C3" w:rsidP="00D645C3">
            <w:r w:rsidRPr="00D645C3">
              <w:lastRenderedPageBreak/>
              <w:t>Diese Form der Überwachung stellt ein Kriter</w:t>
            </w:r>
            <w:r w:rsidRPr="00D645C3">
              <w:t>i</w:t>
            </w:r>
            <w:r w:rsidRPr="00D645C3">
              <w:t xml:space="preserve">um dar, weil die personenbezogenen Daten </w:t>
            </w:r>
            <w:r w:rsidRPr="00D645C3">
              <w:lastRenderedPageBreak/>
              <w:t>möglicherweise in Situationen erfasst werden, in denen die Betroffenen unter Umständen nicht wissen, wer ihre Daten erfasst und wie die Daten verwendet werden. Darüber hinaus kann es vorkommen, dass die Betroffenen keine Möglichkeit haben, eine solche Verarbeitung ihrer in der Öffentlichkeit (oder in öffentlich zugänglichen Bereichen) erfassten Daten zu verhindern.</w:t>
            </w:r>
          </w:p>
          <w:p w14:paraId="5B022831" w14:textId="77777777" w:rsidR="007125DA" w:rsidRPr="00C54E0C" w:rsidRDefault="007125DA" w:rsidP="00D645C3">
            <w:pPr>
              <w:rPr>
                <w:highlight w:val="yellow"/>
              </w:rPr>
            </w:pPr>
            <w:r w:rsidRPr="00C54E0C">
              <w:rPr>
                <w:b/>
                <w:highlight w:val="yellow"/>
              </w:rPr>
              <w:t>Kameraüberwachung:</w:t>
            </w:r>
            <w:r w:rsidRPr="00C54E0C">
              <w:rPr>
                <w:highlight w:val="yellow"/>
              </w:rPr>
              <w:t xml:space="preserve"> Die bloße Installation von Videokameras reicht für eine systematische Überwachung nicht aus. Es reicht somit nicht die Möglichkeit der zufälligen Erfassung von Verhalten von Personen, weil sie sich zufällig in einem überwachten Bereich aufhalten. Es muss sich vielmehr um eine gezielte Maßnahme mit dem Ziel einer Überwachung handeln, wie z.B. die permanente Überwachung eines Arbeit</w:t>
            </w:r>
            <w:r w:rsidRPr="00C54E0C">
              <w:rPr>
                <w:highlight w:val="yellow"/>
              </w:rPr>
              <w:t>s</w:t>
            </w:r>
            <w:r w:rsidRPr="00C54E0C">
              <w:rPr>
                <w:highlight w:val="yellow"/>
              </w:rPr>
              <w:t>platzes oder die umfassende Überwachung durch Kameras in Bereichen, in denen sich Pe</w:t>
            </w:r>
            <w:r w:rsidRPr="00C54E0C">
              <w:rPr>
                <w:highlight w:val="yellow"/>
              </w:rPr>
              <w:t>r</w:t>
            </w:r>
            <w:r w:rsidRPr="00C54E0C">
              <w:rPr>
                <w:highlight w:val="yellow"/>
              </w:rPr>
              <w:t>sonen nicht nur kurzzeitig aufhalten.</w:t>
            </w:r>
          </w:p>
          <w:p w14:paraId="03B74BFD" w14:textId="77777777" w:rsidR="007125DA" w:rsidRPr="00C54E0C" w:rsidRDefault="007125DA" w:rsidP="00D645C3">
            <w:pPr>
              <w:rPr>
                <w:highlight w:val="yellow"/>
              </w:rPr>
            </w:pPr>
            <w:proofErr w:type="spellStart"/>
            <w:r w:rsidRPr="00C54E0C">
              <w:rPr>
                <w:b/>
                <w:highlight w:val="yellow"/>
              </w:rPr>
              <w:t>Keylogger</w:t>
            </w:r>
            <w:proofErr w:type="spellEnd"/>
            <w:r w:rsidRPr="00C54E0C">
              <w:rPr>
                <w:b/>
                <w:highlight w:val="yellow"/>
              </w:rPr>
              <w:t>:</w:t>
            </w:r>
            <w:r w:rsidRPr="00C54E0C">
              <w:rPr>
                <w:highlight w:val="yellow"/>
              </w:rPr>
              <w:t xml:space="preserve"> Erfassung und Aufzeichnung sämtl</w:t>
            </w:r>
            <w:r w:rsidRPr="00C54E0C">
              <w:rPr>
                <w:highlight w:val="yellow"/>
              </w:rPr>
              <w:t>i</w:t>
            </w:r>
            <w:r w:rsidRPr="00C54E0C">
              <w:rPr>
                <w:highlight w:val="yellow"/>
              </w:rPr>
              <w:t>cher Tastaturanschläge auf einem Computer.</w:t>
            </w:r>
          </w:p>
          <w:p w14:paraId="18442CA7" w14:textId="6E7E499F" w:rsidR="00C54E0C" w:rsidRPr="00D645C3" w:rsidRDefault="00C54E0C" w:rsidP="00D645C3">
            <w:r w:rsidRPr="00C54E0C">
              <w:rPr>
                <w:highlight w:val="yellow"/>
              </w:rPr>
              <w:t>Umfassende Erfassung der Daten zur Interne</w:t>
            </w:r>
            <w:r w:rsidRPr="00C54E0C">
              <w:rPr>
                <w:highlight w:val="yellow"/>
              </w:rPr>
              <w:t>t</w:t>
            </w:r>
            <w:r w:rsidRPr="00C54E0C">
              <w:rPr>
                <w:highlight w:val="yellow"/>
              </w:rPr>
              <w:t>nutzung.</w:t>
            </w:r>
          </w:p>
        </w:tc>
      </w:tr>
      <w:tr w:rsidR="00D645C3" w:rsidRPr="00D645C3" w14:paraId="0A294A3B" w14:textId="77777777" w:rsidTr="002164A4">
        <w:tc>
          <w:tcPr>
            <w:tcW w:w="4253" w:type="dxa"/>
            <w:tcBorders>
              <w:top w:val="single" w:sz="4" w:space="0" w:color="000001"/>
              <w:bottom w:val="single" w:sz="4" w:space="0" w:color="000001"/>
            </w:tcBorders>
            <w:shd w:val="clear" w:color="auto" w:fill="auto"/>
          </w:tcPr>
          <w:p w14:paraId="47CA1696" w14:textId="77777777" w:rsidR="00D645C3" w:rsidRPr="00D645C3" w:rsidRDefault="00D645C3" w:rsidP="00D645C3">
            <w:pPr>
              <w:numPr>
                <w:ilvl w:val="0"/>
                <w:numId w:val="23"/>
              </w:numPr>
            </w:pPr>
            <w:r w:rsidRPr="00D645C3">
              <w:rPr>
                <w:b/>
                <w:u w:val="single"/>
              </w:rPr>
              <w:lastRenderedPageBreak/>
              <w:t>Vertrauliche Daten oder höchst persö</w:t>
            </w:r>
            <w:r w:rsidRPr="00D645C3">
              <w:rPr>
                <w:b/>
                <w:u w:val="single"/>
              </w:rPr>
              <w:t>n</w:t>
            </w:r>
            <w:r w:rsidRPr="00D645C3">
              <w:rPr>
                <w:b/>
                <w:u w:val="single"/>
              </w:rPr>
              <w:t>liche Daten</w:t>
            </w:r>
            <w:r w:rsidRPr="00D645C3">
              <w:rPr>
                <w:b/>
              </w:rPr>
              <w:t>:</w:t>
            </w:r>
            <w:r w:rsidRPr="00D645C3">
              <w:t xml:space="preserve"> Hierzu zählen besondere Kategorien personenbezogener Daten (Art. 9 sowie personenbezogene Daten über strafrechtliche Verurteilungen oder Straftaten (Artikel 10). Artikel 9 umfasst folgende Datenarten: </w:t>
            </w:r>
          </w:p>
          <w:p w14:paraId="2ED15B19" w14:textId="77777777" w:rsidR="00D645C3" w:rsidRPr="00D645C3" w:rsidRDefault="00D645C3" w:rsidP="00D645C3">
            <w:pPr>
              <w:numPr>
                <w:ilvl w:val="0"/>
                <w:numId w:val="24"/>
              </w:numPr>
            </w:pPr>
            <w:r w:rsidRPr="00D645C3">
              <w:t>Daten über die rassische oder ethn</w:t>
            </w:r>
            <w:r w:rsidRPr="00D645C3">
              <w:t>i</w:t>
            </w:r>
            <w:r w:rsidRPr="00D645C3">
              <w:t>sche Herkunft</w:t>
            </w:r>
          </w:p>
          <w:p w14:paraId="30A0A96C" w14:textId="77777777" w:rsidR="00D645C3" w:rsidRPr="00D645C3" w:rsidRDefault="00D645C3" w:rsidP="00D645C3">
            <w:pPr>
              <w:numPr>
                <w:ilvl w:val="0"/>
                <w:numId w:val="24"/>
              </w:numPr>
            </w:pPr>
            <w:r w:rsidRPr="00D645C3">
              <w:t xml:space="preserve">politische Meinungen </w:t>
            </w:r>
          </w:p>
          <w:p w14:paraId="1E9057D2" w14:textId="77777777" w:rsidR="00D645C3" w:rsidRPr="00D645C3" w:rsidRDefault="00D645C3" w:rsidP="00D645C3">
            <w:pPr>
              <w:numPr>
                <w:ilvl w:val="0"/>
                <w:numId w:val="24"/>
              </w:numPr>
            </w:pPr>
            <w:r w:rsidRPr="00D645C3">
              <w:t xml:space="preserve">religiöse oder weltanschauliche Überzeugungen </w:t>
            </w:r>
          </w:p>
          <w:p w14:paraId="2285E6FC" w14:textId="77777777" w:rsidR="00D645C3" w:rsidRPr="00D645C3" w:rsidRDefault="00D645C3" w:rsidP="00D645C3">
            <w:pPr>
              <w:numPr>
                <w:ilvl w:val="0"/>
                <w:numId w:val="24"/>
              </w:numPr>
            </w:pPr>
            <w:r w:rsidRPr="00D645C3">
              <w:t>die Gewerkschaftszugehörigkeit</w:t>
            </w:r>
          </w:p>
          <w:p w14:paraId="05FB2745" w14:textId="77777777" w:rsidR="00D645C3" w:rsidRPr="00D645C3" w:rsidRDefault="00D645C3" w:rsidP="00D645C3">
            <w:pPr>
              <w:numPr>
                <w:ilvl w:val="0"/>
                <w:numId w:val="24"/>
              </w:numPr>
            </w:pPr>
            <w:r w:rsidRPr="00D645C3">
              <w:t>genetische Daten und andere bi</w:t>
            </w:r>
            <w:r w:rsidRPr="00D645C3">
              <w:t>o</w:t>
            </w:r>
            <w:r w:rsidRPr="00D645C3">
              <w:t>metrische Daten zur eindeutigen Identifizierung einer natürlichen Pe</w:t>
            </w:r>
            <w:r w:rsidRPr="00D645C3">
              <w:t>r</w:t>
            </w:r>
            <w:r w:rsidRPr="00D645C3">
              <w:t>son</w:t>
            </w:r>
          </w:p>
          <w:p w14:paraId="0F1E2DC1" w14:textId="77777777" w:rsidR="00D645C3" w:rsidRPr="00D645C3" w:rsidRDefault="00D645C3" w:rsidP="00D645C3">
            <w:pPr>
              <w:numPr>
                <w:ilvl w:val="0"/>
                <w:numId w:val="24"/>
              </w:numPr>
            </w:pPr>
            <w:r w:rsidRPr="00D645C3">
              <w:lastRenderedPageBreak/>
              <w:t>Gesundheitsdaten</w:t>
            </w:r>
          </w:p>
          <w:p w14:paraId="13CDF49F" w14:textId="77777777" w:rsidR="00D645C3" w:rsidRPr="00D645C3" w:rsidRDefault="00D645C3" w:rsidP="00D645C3">
            <w:pPr>
              <w:numPr>
                <w:ilvl w:val="0"/>
                <w:numId w:val="24"/>
              </w:numPr>
            </w:pPr>
            <w:r w:rsidRPr="00D645C3">
              <w:t>Daten zum Sexualleben oder der s</w:t>
            </w:r>
            <w:r w:rsidRPr="00D645C3">
              <w:t>e</w:t>
            </w:r>
            <w:r w:rsidRPr="00D645C3">
              <w:t xml:space="preserve">xuellen Orientierung </w:t>
            </w:r>
          </w:p>
        </w:tc>
        <w:tc>
          <w:tcPr>
            <w:tcW w:w="4503" w:type="dxa"/>
            <w:tcBorders>
              <w:top w:val="single" w:sz="4" w:space="0" w:color="000001"/>
              <w:bottom w:val="single" w:sz="4" w:space="0" w:color="000001"/>
            </w:tcBorders>
            <w:shd w:val="clear" w:color="auto" w:fill="auto"/>
          </w:tcPr>
          <w:p w14:paraId="5F2E3161" w14:textId="77777777" w:rsidR="00D645C3" w:rsidRPr="00D645C3" w:rsidRDefault="00D645C3" w:rsidP="00D645C3">
            <w:r w:rsidRPr="00D645C3">
              <w:lastRenderedPageBreak/>
              <w:t>Hierfür seien als Beispiele zunächst Gesun</w:t>
            </w:r>
            <w:r w:rsidRPr="00D645C3">
              <w:t>d</w:t>
            </w:r>
            <w:r w:rsidRPr="00D645C3">
              <w:t>heitsdaten oder Daten über politische Einste</w:t>
            </w:r>
            <w:r w:rsidRPr="00D645C3">
              <w:t>l</w:t>
            </w:r>
            <w:r w:rsidRPr="00D645C3">
              <w:t>lungen  gemeint. Darüber hinaus gibt es weit</w:t>
            </w:r>
            <w:r w:rsidRPr="00D645C3">
              <w:t>e</w:t>
            </w:r>
            <w:r w:rsidRPr="00D645C3">
              <w:t>re Datenkategorien, die zwar nicht in den DS-GVO-Bestimmungen aufgeführt sind, jedoch die möglichen Risiken für die Rechte und Freiheiten von Personen erhöhen können. Diese pers</w:t>
            </w:r>
            <w:r w:rsidRPr="00D645C3">
              <w:t>o</w:t>
            </w:r>
            <w:r w:rsidRPr="00D645C3">
              <w:t>nenbezogenen Daten gelten als vertraulich (im gängigen Sinne des Wortes), da sie mit häusl</w:t>
            </w:r>
            <w:r w:rsidRPr="00D645C3">
              <w:t>i</w:t>
            </w:r>
            <w:r w:rsidRPr="00D645C3">
              <w:t>chen und privaten Aktivitäten verknüpft sind (wie etwa die elektronische Kommunikation, deren Vertraulichkeit geschützt werden muss), sich auf die Ausübung eines der Grundrechte auswirken (wie etwa Standortdaten, deren Erfassung die Freizügigkeit in Frage stellt) oder die Verletzung derselben mit ernsthaften Ko</w:t>
            </w:r>
            <w:r w:rsidRPr="00D645C3">
              <w:t>n</w:t>
            </w:r>
            <w:r w:rsidRPr="00D645C3">
              <w:t>sequenzen für den Alltag des Betroffenen ei</w:t>
            </w:r>
            <w:r w:rsidRPr="00D645C3">
              <w:t>n</w:t>
            </w:r>
            <w:r w:rsidRPr="00D645C3">
              <w:t xml:space="preserve">hergeht (wie etwa Finanzdaten, die für den Zahlungsbetrug missbraucht werden könnten). In dieses Kriterium können auch Daten wie persönliche Dokumente, E-Mails, Tagebücher, </w:t>
            </w:r>
            <w:r w:rsidRPr="00D645C3">
              <w:lastRenderedPageBreak/>
              <w:t xml:space="preserve">Notizen aus E-Readern mit Notizfunktion sowie über </w:t>
            </w:r>
            <w:proofErr w:type="spellStart"/>
            <w:r w:rsidRPr="00D645C3">
              <w:t>Lifelogging</w:t>
            </w:r>
            <w:proofErr w:type="spellEnd"/>
            <w:r w:rsidRPr="00D645C3">
              <w:t>-Anwendungen erfasst werden, fallen.</w:t>
            </w:r>
          </w:p>
        </w:tc>
      </w:tr>
      <w:tr w:rsidR="00D645C3" w:rsidRPr="00D645C3" w14:paraId="04CA97D2" w14:textId="77777777" w:rsidTr="002164A4">
        <w:tc>
          <w:tcPr>
            <w:tcW w:w="4253" w:type="dxa"/>
            <w:tcBorders>
              <w:top w:val="single" w:sz="4" w:space="0" w:color="000001"/>
              <w:bottom w:val="single" w:sz="4" w:space="0" w:color="000001"/>
            </w:tcBorders>
            <w:shd w:val="clear" w:color="auto" w:fill="auto"/>
          </w:tcPr>
          <w:p w14:paraId="6D1173CD" w14:textId="77777777" w:rsidR="00D645C3" w:rsidRPr="00D645C3" w:rsidRDefault="00D645C3" w:rsidP="00D645C3">
            <w:pPr>
              <w:numPr>
                <w:ilvl w:val="0"/>
                <w:numId w:val="23"/>
              </w:numPr>
            </w:pPr>
            <w:r w:rsidRPr="00D645C3">
              <w:rPr>
                <w:b/>
                <w:u w:val="single"/>
              </w:rPr>
              <w:lastRenderedPageBreak/>
              <w:t>Datenverarbeitung in großem Umfang</w:t>
            </w:r>
            <w:r w:rsidRPr="00D645C3">
              <w:rPr>
                <w:b/>
              </w:rPr>
              <w:t>:</w:t>
            </w:r>
            <w:r w:rsidRPr="00D645C3">
              <w:t xml:space="preserve"> Zwar ist „in großem Umfang“ in der DSGVO nicht definiert, aber Erwägung</w:t>
            </w:r>
            <w:r w:rsidRPr="00D645C3">
              <w:t>s</w:t>
            </w:r>
            <w:r w:rsidRPr="00D645C3">
              <w:t xml:space="preserve">grund 91 liefert einige Hinweise. </w:t>
            </w:r>
          </w:p>
        </w:tc>
        <w:tc>
          <w:tcPr>
            <w:tcW w:w="4503" w:type="dxa"/>
            <w:tcBorders>
              <w:top w:val="single" w:sz="4" w:space="0" w:color="000001"/>
              <w:bottom w:val="single" w:sz="4" w:space="0" w:color="000001"/>
            </w:tcBorders>
            <w:shd w:val="clear" w:color="auto" w:fill="auto"/>
          </w:tcPr>
          <w:p w14:paraId="51946C6B" w14:textId="77777777" w:rsidR="00D645C3" w:rsidRPr="00D645C3" w:rsidRDefault="00D645C3" w:rsidP="00D645C3">
            <w:r w:rsidRPr="00D645C3">
              <w:t>Bei der Beurteilung ob ein großer Umfang e</w:t>
            </w:r>
            <w:r w:rsidRPr="00D645C3">
              <w:t>r</w:t>
            </w:r>
            <w:r w:rsidRPr="00D645C3">
              <w:t>reicht wird, sollten folgende Faktoren berüc</w:t>
            </w:r>
            <w:r w:rsidRPr="00D645C3">
              <w:t>k</w:t>
            </w:r>
            <w:r w:rsidRPr="00D645C3">
              <w:t xml:space="preserve">sichtigt werden:  </w:t>
            </w:r>
          </w:p>
          <w:p w14:paraId="461022E8" w14:textId="77777777" w:rsidR="00D645C3" w:rsidRPr="00D645C3" w:rsidRDefault="00D645C3" w:rsidP="00D645C3">
            <w:pPr>
              <w:numPr>
                <w:ilvl w:val="0"/>
                <w:numId w:val="25"/>
              </w:numPr>
            </w:pPr>
            <w:r w:rsidRPr="00D645C3">
              <w:t>Zahl der Betroffenen, entweder als konkr</w:t>
            </w:r>
            <w:r w:rsidRPr="00D645C3">
              <w:t>e</w:t>
            </w:r>
            <w:r w:rsidRPr="00D645C3">
              <w:t>te Anzahl oder als Anteil der entspreche</w:t>
            </w:r>
            <w:r w:rsidRPr="00D645C3">
              <w:t>n</w:t>
            </w:r>
            <w:r w:rsidRPr="00D645C3">
              <w:t>den Bevölkerungsgruppe;</w:t>
            </w:r>
          </w:p>
          <w:p w14:paraId="7417F68B" w14:textId="77777777" w:rsidR="00D645C3" w:rsidRPr="00D645C3" w:rsidRDefault="00D645C3" w:rsidP="00D645C3">
            <w:pPr>
              <w:numPr>
                <w:ilvl w:val="0"/>
                <w:numId w:val="25"/>
              </w:numPr>
            </w:pPr>
            <w:r w:rsidRPr="00D645C3">
              <w:t>verarbeitete Datenmenge bzw. Breite der unterschiedlichen verarbeiteten Datenel</w:t>
            </w:r>
            <w:r w:rsidRPr="00D645C3">
              <w:t>e</w:t>
            </w:r>
            <w:r w:rsidRPr="00D645C3">
              <w:t>mente;</w:t>
            </w:r>
          </w:p>
          <w:p w14:paraId="565A31A6" w14:textId="77777777" w:rsidR="00D645C3" w:rsidRPr="00D645C3" w:rsidRDefault="00D645C3" w:rsidP="00D645C3">
            <w:pPr>
              <w:numPr>
                <w:ilvl w:val="0"/>
                <w:numId w:val="25"/>
              </w:numPr>
            </w:pPr>
            <w:r w:rsidRPr="00D645C3">
              <w:t>Dauer oder Dauerhaftigkeit der Datenve</w:t>
            </w:r>
            <w:r w:rsidRPr="00D645C3">
              <w:t>r</w:t>
            </w:r>
            <w:r w:rsidRPr="00D645C3">
              <w:t>arbeitung;</w:t>
            </w:r>
          </w:p>
          <w:p w14:paraId="5D2F9095" w14:textId="77777777" w:rsidR="00D645C3" w:rsidRPr="00D645C3" w:rsidRDefault="00D645C3" w:rsidP="00D645C3">
            <w:pPr>
              <w:numPr>
                <w:ilvl w:val="0"/>
                <w:numId w:val="25"/>
              </w:numPr>
            </w:pPr>
            <w:r w:rsidRPr="00D645C3">
              <w:t>geographisches Ausmaß der Datenverarbe</w:t>
            </w:r>
            <w:r w:rsidRPr="00D645C3">
              <w:t>i</w:t>
            </w:r>
            <w:r w:rsidRPr="00D645C3">
              <w:t>tung.</w:t>
            </w:r>
          </w:p>
        </w:tc>
      </w:tr>
      <w:tr w:rsidR="00D645C3" w:rsidRPr="00D645C3" w14:paraId="05CB878D" w14:textId="77777777" w:rsidTr="002164A4">
        <w:tc>
          <w:tcPr>
            <w:tcW w:w="4253" w:type="dxa"/>
            <w:tcBorders>
              <w:top w:val="single" w:sz="4" w:space="0" w:color="000001"/>
              <w:bottom w:val="single" w:sz="4" w:space="0" w:color="000001"/>
            </w:tcBorders>
            <w:shd w:val="clear" w:color="auto" w:fill="auto"/>
          </w:tcPr>
          <w:p w14:paraId="6B2F1825" w14:textId="77777777" w:rsidR="00D645C3" w:rsidRPr="00D645C3" w:rsidRDefault="00D645C3" w:rsidP="00D645C3">
            <w:pPr>
              <w:numPr>
                <w:ilvl w:val="0"/>
                <w:numId w:val="23"/>
              </w:numPr>
            </w:pPr>
            <w:r w:rsidRPr="00D645C3">
              <w:rPr>
                <w:b/>
                <w:u w:val="single"/>
              </w:rPr>
              <w:t>Abgleichen oder Zusammenführen von Datensätzen</w:t>
            </w:r>
          </w:p>
        </w:tc>
        <w:tc>
          <w:tcPr>
            <w:tcW w:w="4503" w:type="dxa"/>
            <w:tcBorders>
              <w:top w:val="single" w:sz="4" w:space="0" w:color="000001"/>
              <w:bottom w:val="single" w:sz="4" w:space="0" w:color="000001"/>
            </w:tcBorders>
            <w:shd w:val="clear" w:color="auto" w:fill="auto"/>
          </w:tcPr>
          <w:p w14:paraId="6280B272" w14:textId="77777777" w:rsidR="00D645C3" w:rsidRDefault="00D645C3" w:rsidP="00D645C3">
            <w:r w:rsidRPr="00D645C3">
              <w:t>Zum Beispiel solcher Datensätze, die aus zwei oder mehreren Datenverarbeitungsvorgängen stammen, die zu unterschiedlichen Zwecken und/oder von verschiedenen für die Datenve</w:t>
            </w:r>
            <w:r w:rsidRPr="00D645C3">
              <w:t>r</w:t>
            </w:r>
            <w:r w:rsidRPr="00D645C3">
              <w:t>arbeitung Verantwortlichen durchgeführt wu</w:t>
            </w:r>
            <w:r w:rsidRPr="00D645C3">
              <w:t>r</w:t>
            </w:r>
            <w:r w:rsidRPr="00D645C3">
              <w:t>den, und zwar in einer Weise, die über die ve</w:t>
            </w:r>
            <w:r w:rsidRPr="00D645C3">
              <w:t>r</w:t>
            </w:r>
            <w:r w:rsidRPr="00D645C3">
              <w:t>nünftigen Erwartungen der Betroffenen hi</w:t>
            </w:r>
            <w:r w:rsidRPr="00D645C3">
              <w:t>n</w:t>
            </w:r>
            <w:r w:rsidRPr="00D645C3">
              <w:t>ausgeht.</w:t>
            </w:r>
          </w:p>
          <w:p w14:paraId="08BE40E0" w14:textId="31E47714" w:rsidR="00C54E0C" w:rsidRPr="00D645C3" w:rsidRDefault="00C54E0C" w:rsidP="00D645C3">
            <w:r w:rsidRPr="00C54E0C">
              <w:rPr>
                <w:highlight w:val="yellow"/>
              </w:rPr>
              <w:t xml:space="preserve">Hierzu gehört nicht: </w:t>
            </w:r>
            <w:proofErr w:type="spellStart"/>
            <w:r w:rsidRPr="00C54E0C">
              <w:rPr>
                <w:highlight w:val="yellow"/>
              </w:rPr>
              <w:t>Doublettenprüfung</w:t>
            </w:r>
            <w:proofErr w:type="spellEnd"/>
            <w:r w:rsidRPr="00C54E0C">
              <w:rPr>
                <w:highlight w:val="yellow"/>
              </w:rPr>
              <w:t xml:space="preserve"> bei der Bewerbung und bei der Einschreibung. Es geht nicht über die vernünftigen Erwartungen der Betroffenen hinaus, wenn die Hochschule d</w:t>
            </w:r>
            <w:r w:rsidRPr="00C54E0C">
              <w:rPr>
                <w:highlight w:val="yellow"/>
              </w:rPr>
              <w:t>a</w:t>
            </w:r>
            <w:r w:rsidRPr="00C54E0C">
              <w:rPr>
                <w:highlight w:val="yellow"/>
              </w:rPr>
              <w:t>mit zu verhindern versucht, dass sich Einzelpe</w:t>
            </w:r>
            <w:r w:rsidRPr="00C54E0C">
              <w:rPr>
                <w:highlight w:val="yellow"/>
              </w:rPr>
              <w:t>r</w:t>
            </w:r>
            <w:r w:rsidRPr="00C54E0C">
              <w:rPr>
                <w:highlight w:val="yellow"/>
              </w:rPr>
              <w:t>sonen mit minimalen Abweichungen bei Ang</w:t>
            </w:r>
            <w:r w:rsidRPr="00C54E0C">
              <w:rPr>
                <w:highlight w:val="yellow"/>
              </w:rPr>
              <w:t>a</w:t>
            </w:r>
            <w:r w:rsidRPr="00C54E0C">
              <w:rPr>
                <w:highlight w:val="yellow"/>
              </w:rPr>
              <w:t>ben doppelt bewerben (Bewerbung) oder do</w:t>
            </w:r>
            <w:r w:rsidRPr="00C54E0C">
              <w:rPr>
                <w:highlight w:val="yellow"/>
              </w:rPr>
              <w:t>p</w:t>
            </w:r>
            <w:r w:rsidRPr="00C54E0C">
              <w:rPr>
                <w:highlight w:val="yellow"/>
              </w:rPr>
              <w:t>pelt als Studierende in der DV geführt werden.</w:t>
            </w:r>
          </w:p>
        </w:tc>
      </w:tr>
      <w:tr w:rsidR="00D645C3" w:rsidRPr="00D645C3" w14:paraId="281D774D" w14:textId="77777777" w:rsidTr="002164A4">
        <w:tc>
          <w:tcPr>
            <w:tcW w:w="4253" w:type="dxa"/>
            <w:tcBorders>
              <w:top w:val="single" w:sz="4" w:space="0" w:color="000001"/>
              <w:bottom w:val="single" w:sz="4" w:space="0" w:color="000001"/>
            </w:tcBorders>
            <w:shd w:val="clear" w:color="auto" w:fill="auto"/>
          </w:tcPr>
          <w:p w14:paraId="6C1BEC36" w14:textId="77777777" w:rsidR="00D645C3" w:rsidRPr="00D645C3" w:rsidRDefault="00D645C3" w:rsidP="00D645C3">
            <w:pPr>
              <w:numPr>
                <w:ilvl w:val="0"/>
                <w:numId w:val="23"/>
              </w:numPr>
            </w:pPr>
            <w:r w:rsidRPr="00D645C3">
              <w:rPr>
                <w:b/>
                <w:u w:val="single"/>
              </w:rPr>
              <w:t>Daten zu schutzbedürftigen Betroffenen</w:t>
            </w:r>
            <w:r w:rsidRPr="00D645C3">
              <w:t xml:space="preserve"> (</w:t>
            </w:r>
            <w:proofErr w:type="spellStart"/>
            <w:r w:rsidRPr="00D645C3">
              <w:t>ErwG</w:t>
            </w:r>
            <w:proofErr w:type="spellEnd"/>
            <w:r w:rsidRPr="00D645C3">
              <w:t xml:space="preserve"> 75): Die Verarbeitung dieser Art von Daten stellt ein Kriterium dar, weil zwischen den Betroffenen und dem für die Datenverarbeitung Verantwortlichen ein größeres Machtungleichgewicht vo</w:t>
            </w:r>
            <w:r w:rsidRPr="00D645C3">
              <w:t>r</w:t>
            </w:r>
            <w:r w:rsidRPr="00D645C3">
              <w:t>liegt; d. h. den Personen ist es unter U</w:t>
            </w:r>
            <w:r w:rsidRPr="00D645C3">
              <w:t>m</w:t>
            </w:r>
            <w:r w:rsidRPr="00D645C3">
              <w:t>ständen nicht ohne weiteres möglich, der Verarbeitung ihrer Daten zuzusti</w:t>
            </w:r>
            <w:r w:rsidRPr="00D645C3">
              <w:t>m</w:t>
            </w:r>
            <w:r w:rsidRPr="00D645C3">
              <w:t xml:space="preserve">men bzw. zu widersprechen oder ihre </w:t>
            </w:r>
            <w:r w:rsidRPr="00D645C3">
              <w:lastRenderedPageBreak/>
              <w:t xml:space="preserve">Rechte auszuüben. </w:t>
            </w:r>
          </w:p>
        </w:tc>
        <w:tc>
          <w:tcPr>
            <w:tcW w:w="4503" w:type="dxa"/>
            <w:tcBorders>
              <w:top w:val="single" w:sz="4" w:space="0" w:color="000001"/>
              <w:bottom w:val="single" w:sz="4" w:space="0" w:color="000001"/>
            </w:tcBorders>
            <w:shd w:val="clear" w:color="auto" w:fill="auto"/>
          </w:tcPr>
          <w:p w14:paraId="0641B21B" w14:textId="77777777" w:rsidR="00D645C3" w:rsidRPr="00D645C3" w:rsidRDefault="00D645C3" w:rsidP="00D645C3">
            <w:r w:rsidRPr="00D645C3">
              <w:lastRenderedPageBreak/>
              <w:t>Als schutzbedürftige Betroffene gelten be</w:t>
            </w:r>
            <w:r w:rsidRPr="00D645C3">
              <w:t>i</w:t>
            </w:r>
            <w:r w:rsidRPr="00D645C3">
              <w:t>spielsweise folgende Bevölkerungs</w:t>
            </w:r>
            <w:r w:rsidRPr="00D645C3">
              <w:softHyphen/>
              <w:t xml:space="preserve">gruppen: </w:t>
            </w:r>
          </w:p>
          <w:p w14:paraId="215A6B3C" w14:textId="77777777" w:rsidR="00D645C3" w:rsidRPr="00D645C3" w:rsidRDefault="00D645C3" w:rsidP="00D645C3">
            <w:pPr>
              <w:numPr>
                <w:ilvl w:val="0"/>
                <w:numId w:val="26"/>
              </w:numPr>
            </w:pPr>
            <w:r w:rsidRPr="00D645C3">
              <w:t>Kinder (bei ihnen kann nicht davon ausg</w:t>
            </w:r>
            <w:r w:rsidRPr="00D645C3">
              <w:t>e</w:t>
            </w:r>
            <w:r w:rsidRPr="00D645C3">
              <w:t>gangen werden, dass sie in der Lage sind, der Verarbeitung ihrer Daten wissentlich und überlegt zu widersprechen bzw. zuz</w:t>
            </w:r>
            <w:r w:rsidRPr="00D645C3">
              <w:t>u</w:t>
            </w:r>
            <w:r w:rsidRPr="00D645C3">
              <w:t>stimmen),</w:t>
            </w:r>
          </w:p>
          <w:p w14:paraId="24D0A3D5" w14:textId="77777777" w:rsidR="00D645C3" w:rsidRPr="00D645C3" w:rsidRDefault="00D645C3" w:rsidP="00D645C3">
            <w:pPr>
              <w:numPr>
                <w:ilvl w:val="0"/>
                <w:numId w:val="26"/>
              </w:numPr>
            </w:pPr>
            <w:r w:rsidRPr="00D645C3">
              <w:t>Arbeitnehmer (in hohem U</w:t>
            </w:r>
            <w:r w:rsidRPr="00D645C3">
              <w:t>m</w:t>
            </w:r>
            <w:r w:rsidRPr="00D645C3">
              <w:t xml:space="preserve">fang/zusammen mit weiteren Merkmalen), </w:t>
            </w:r>
          </w:p>
          <w:p w14:paraId="7329DD58" w14:textId="77777777" w:rsidR="00D645C3" w:rsidRPr="00D645C3" w:rsidRDefault="00D645C3" w:rsidP="00D645C3">
            <w:pPr>
              <w:numPr>
                <w:ilvl w:val="0"/>
                <w:numId w:val="26"/>
              </w:numPr>
            </w:pPr>
            <w:r w:rsidRPr="00D645C3">
              <w:lastRenderedPageBreak/>
              <w:t>Teile der Bevölkerung mit besonderem Schutzbedarf (psychisch Kranke, Asylb</w:t>
            </w:r>
            <w:r w:rsidRPr="00D645C3">
              <w:t>e</w:t>
            </w:r>
            <w:r w:rsidRPr="00D645C3">
              <w:t xml:space="preserve">werber, Senioren, Patienten </w:t>
            </w:r>
            <w:r w:rsidRPr="00D645C3">
              <w:rPr>
                <w:i/>
              </w:rPr>
              <w:t>usw</w:t>
            </w:r>
            <w:r w:rsidRPr="00D645C3">
              <w:t>.) und B</w:t>
            </w:r>
            <w:r w:rsidRPr="00D645C3">
              <w:t>e</w:t>
            </w:r>
            <w:r w:rsidRPr="00D645C3">
              <w:t>troffene in Situationen, in denen ein ungle</w:t>
            </w:r>
            <w:r w:rsidRPr="00D645C3">
              <w:t>i</w:t>
            </w:r>
            <w:r w:rsidRPr="00D645C3">
              <w:t>ches Verhältnis zwischen der Stellung des Betroffenen und der des für die Verarbe</w:t>
            </w:r>
            <w:r w:rsidRPr="00D645C3">
              <w:t>i</w:t>
            </w:r>
            <w:r w:rsidRPr="00D645C3">
              <w:t>tung Verantwortlichen vorliegt.</w:t>
            </w:r>
          </w:p>
        </w:tc>
      </w:tr>
      <w:tr w:rsidR="00D645C3" w:rsidRPr="00D645C3" w14:paraId="1EC7F82D" w14:textId="77777777" w:rsidTr="002164A4">
        <w:tc>
          <w:tcPr>
            <w:tcW w:w="4253" w:type="dxa"/>
            <w:tcBorders>
              <w:top w:val="single" w:sz="4" w:space="0" w:color="000001"/>
              <w:bottom w:val="single" w:sz="4" w:space="0" w:color="000001"/>
            </w:tcBorders>
            <w:shd w:val="clear" w:color="auto" w:fill="auto"/>
          </w:tcPr>
          <w:p w14:paraId="0D76820B" w14:textId="77777777" w:rsidR="00D645C3" w:rsidRPr="00D645C3" w:rsidRDefault="00D645C3" w:rsidP="00D645C3">
            <w:pPr>
              <w:numPr>
                <w:ilvl w:val="0"/>
                <w:numId w:val="23"/>
              </w:numPr>
            </w:pPr>
            <w:r w:rsidRPr="00D645C3">
              <w:rPr>
                <w:b/>
                <w:u w:val="single"/>
              </w:rPr>
              <w:lastRenderedPageBreak/>
              <w:t>Innovative Nutzung oder Anwendung neuer technologischer oder organisat</w:t>
            </w:r>
            <w:r w:rsidRPr="00D645C3">
              <w:rPr>
                <w:b/>
                <w:u w:val="single"/>
              </w:rPr>
              <w:t>o</w:t>
            </w:r>
            <w:r w:rsidRPr="00D645C3">
              <w:rPr>
                <w:b/>
                <w:u w:val="single"/>
              </w:rPr>
              <w:t>rischer Lösungen</w:t>
            </w:r>
            <w:r w:rsidRPr="00D645C3">
              <w:t>, wie etwa die Komb</w:t>
            </w:r>
            <w:r w:rsidRPr="00D645C3">
              <w:t>i</w:t>
            </w:r>
            <w:r w:rsidRPr="00D645C3">
              <w:t>nation aus Fingerabdruck- und G</w:t>
            </w:r>
            <w:r w:rsidRPr="00D645C3">
              <w:t>e</w:t>
            </w:r>
            <w:r w:rsidRPr="00D645C3">
              <w:t>sichtserkennung zum Zwecke einer ve</w:t>
            </w:r>
            <w:r w:rsidRPr="00D645C3">
              <w:t>r</w:t>
            </w:r>
            <w:r w:rsidRPr="00D645C3">
              <w:t xml:space="preserve">besserten Zugangskontrolle </w:t>
            </w:r>
            <w:r w:rsidRPr="00D645C3">
              <w:rPr>
                <w:i/>
              </w:rPr>
              <w:t>usw</w:t>
            </w:r>
            <w:r w:rsidRPr="00D645C3">
              <w:t xml:space="preserve">. von Personen auswirken und somit eine DSFA obligatorisch machen. </w:t>
            </w:r>
          </w:p>
        </w:tc>
        <w:tc>
          <w:tcPr>
            <w:tcW w:w="4503" w:type="dxa"/>
            <w:tcBorders>
              <w:top w:val="single" w:sz="4" w:space="0" w:color="000001"/>
              <w:bottom w:val="single" w:sz="4" w:space="0" w:color="000001"/>
            </w:tcBorders>
            <w:shd w:val="clear" w:color="auto" w:fill="auto"/>
          </w:tcPr>
          <w:p w14:paraId="6967F6F2" w14:textId="77777777" w:rsidR="00D645C3" w:rsidRDefault="00D645C3" w:rsidP="00D645C3">
            <w:r w:rsidRPr="00D645C3">
              <w:t xml:space="preserve">Aus der DS-GVO (Art. 35 Abs. 1, </w:t>
            </w:r>
            <w:proofErr w:type="spellStart"/>
            <w:r w:rsidRPr="00D645C3">
              <w:t>ErwGG</w:t>
            </w:r>
            <w:proofErr w:type="spellEnd"/>
            <w:r w:rsidRPr="00D645C3">
              <w:t xml:space="preserve"> 89 und 91) wird deutlich, dass der Einsatz einer neuen Technologie, die „</w:t>
            </w:r>
            <w:r w:rsidRPr="00D645C3">
              <w:rPr>
                <w:i/>
              </w:rPr>
              <w:t>entsprechend dem jeweils aktuellen Stand der Technik</w:t>
            </w:r>
            <w:r w:rsidRPr="00D645C3">
              <w:t>“ (</w:t>
            </w:r>
            <w:proofErr w:type="spellStart"/>
            <w:r w:rsidRPr="00D645C3">
              <w:t>ErwG</w:t>
            </w:r>
            <w:proofErr w:type="spellEnd"/>
            <w:r w:rsidRPr="00D645C3">
              <w:t xml:space="preserve"> 91) als so</w:t>
            </w:r>
            <w:r w:rsidRPr="00D645C3">
              <w:t>l</w:t>
            </w:r>
            <w:r w:rsidRPr="00D645C3">
              <w:t>che einzuordnen ist, der Grund für die Notwe</w:t>
            </w:r>
            <w:r w:rsidRPr="00D645C3">
              <w:t>n</w:t>
            </w:r>
            <w:r w:rsidRPr="00D645C3">
              <w:t>digkeit einer DSFA sein kann. Das liegt daran, dass der Einsatz einer solchen Technologie mit neuartigen Formen der Datenerfassung und -nutzung einhergehen kann, was mögliche</w:t>
            </w:r>
            <w:r w:rsidRPr="00D645C3">
              <w:t>r</w:t>
            </w:r>
            <w:r w:rsidRPr="00D645C3">
              <w:t>weise ein hohes Risiko für die Rechte und Fre</w:t>
            </w:r>
            <w:r w:rsidRPr="00D645C3">
              <w:t>i</w:t>
            </w:r>
            <w:r w:rsidRPr="00D645C3">
              <w:t>heiten von Personen mit sich bringt. Schließlich sind die persönlichen und gesellschaftlichen Folgen, die der Einsatz einer neuen Technologie haben kann, kaum absehbar. Beispielsweise könnten sich einige Anwendungen des „Inte</w:t>
            </w:r>
            <w:r w:rsidRPr="00D645C3">
              <w:t>r</w:t>
            </w:r>
            <w:r w:rsidRPr="00D645C3">
              <w:t>net der Dinge“ erheblich auf den Alltag und das Privatleben auswirken.</w:t>
            </w:r>
          </w:p>
          <w:p w14:paraId="21F30051" w14:textId="77777777" w:rsidR="00C54E0C" w:rsidRDefault="00C54E0C" w:rsidP="00D645C3">
            <w:r w:rsidRPr="008157EF">
              <w:rPr>
                <w:highlight w:val="yellow"/>
              </w:rPr>
              <w:t>Internet der Dinge in Verbindung mit umfa</w:t>
            </w:r>
            <w:r w:rsidRPr="008157EF">
              <w:rPr>
                <w:highlight w:val="yellow"/>
              </w:rPr>
              <w:t>s</w:t>
            </w:r>
            <w:r w:rsidRPr="008157EF">
              <w:rPr>
                <w:highlight w:val="yellow"/>
              </w:rPr>
              <w:t>senden und neuartigen Methoden der Sensorik, die Datenschutzverletzungen als Seiteneffekte auslösen können. Z.B. soll ein Wärmesensor den Heizbedarf eines Raums bestimmen. Au</w:t>
            </w:r>
            <w:r w:rsidRPr="008157EF">
              <w:rPr>
                <w:highlight w:val="yellow"/>
              </w:rPr>
              <w:t>f</w:t>
            </w:r>
            <w:r w:rsidRPr="008157EF">
              <w:rPr>
                <w:highlight w:val="yellow"/>
              </w:rPr>
              <w:t>grund der Nähe zu einem Arbeitsplatz und der Technik der Sensorik, können aber auch Rüc</w:t>
            </w:r>
            <w:r w:rsidRPr="008157EF">
              <w:rPr>
                <w:highlight w:val="yellow"/>
              </w:rPr>
              <w:t>k</w:t>
            </w:r>
            <w:r w:rsidRPr="008157EF">
              <w:rPr>
                <w:highlight w:val="yellow"/>
              </w:rPr>
              <w:t>schlüsse auf die Körpertemperatur einer Person ge</w:t>
            </w:r>
            <w:r w:rsidR="008157EF" w:rsidRPr="008157EF">
              <w:rPr>
                <w:highlight w:val="yellow"/>
              </w:rPr>
              <w:t>zogen werden.</w:t>
            </w:r>
          </w:p>
          <w:p w14:paraId="166794E6" w14:textId="1C0D81D7" w:rsidR="008157EF" w:rsidRPr="00D645C3" w:rsidRDefault="008157EF" w:rsidP="00D645C3">
            <w:r w:rsidRPr="008157EF">
              <w:rPr>
                <w:b/>
                <w:highlight w:val="yellow"/>
              </w:rPr>
              <w:t>Kein Fall:</w:t>
            </w:r>
            <w:r w:rsidRPr="008157EF">
              <w:rPr>
                <w:highlight w:val="yellow"/>
              </w:rPr>
              <w:t xml:space="preserve"> Datenbankbasierte Campus-Management-Systeme, auch wenn diese durch BI umfassende Auswertungsmöglichkeiten bi</w:t>
            </w:r>
            <w:r w:rsidRPr="008157EF">
              <w:rPr>
                <w:highlight w:val="yellow"/>
              </w:rPr>
              <w:t>e</w:t>
            </w:r>
            <w:r w:rsidRPr="008157EF">
              <w:rPr>
                <w:highlight w:val="yellow"/>
              </w:rPr>
              <w:t>tet. Hierbei handelt es sich weder technisch noch organisatorisch um neuartige Ansätze.</w:t>
            </w:r>
          </w:p>
        </w:tc>
      </w:tr>
      <w:tr w:rsidR="00D645C3" w:rsidRPr="00D645C3" w14:paraId="18C95F92" w14:textId="77777777" w:rsidTr="002164A4">
        <w:tc>
          <w:tcPr>
            <w:tcW w:w="4253" w:type="dxa"/>
            <w:tcBorders>
              <w:top w:val="single" w:sz="4" w:space="0" w:color="000001"/>
              <w:bottom w:val="single" w:sz="4" w:space="0" w:color="000001"/>
            </w:tcBorders>
            <w:shd w:val="clear" w:color="auto" w:fill="auto"/>
          </w:tcPr>
          <w:p w14:paraId="788887CC" w14:textId="77777777" w:rsidR="00D645C3" w:rsidRPr="00D645C3" w:rsidRDefault="00D645C3" w:rsidP="00D645C3">
            <w:pPr>
              <w:numPr>
                <w:ilvl w:val="0"/>
                <w:numId w:val="23"/>
              </w:numPr>
            </w:pPr>
            <w:r w:rsidRPr="00D645C3">
              <w:t xml:space="preserve">Fälle, in denen die Verarbeitung an sich </w:t>
            </w:r>
            <w:r w:rsidRPr="00D645C3">
              <w:rPr>
                <w:i/>
              </w:rPr>
              <w:t>„</w:t>
            </w:r>
            <w:r w:rsidRPr="00D645C3">
              <w:rPr>
                <w:b/>
                <w:i/>
                <w:u w:val="single"/>
              </w:rPr>
              <w:t>die betroffenen Personen an der Au</w:t>
            </w:r>
            <w:r w:rsidRPr="00D645C3">
              <w:rPr>
                <w:b/>
                <w:i/>
                <w:u w:val="single"/>
              </w:rPr>
              <w:t>s</w:t>
            </w:r>
            <w:r w:rsidRPr="00D645C3">
              <w:rPr>
                <w:b/>
                <w:i/>
                <w:u w:val="single"/>
              </w:rPr>
              <w:t>übung eines</w:t>
            </w:r>
            <w:r w:rsidRPr="00D645C3">
              <w:rPr>
                <w:b/>
                <w:i/>
              </w:rPr>
              <w:t xml:space="preserve"> </w:t>
            </w:r>
            <w:r w:rsidRPr="00D645C3">
              <w:rPr>
                <w:b/>
                <w:i/>
                <w:u w:val="single"/>
              </w:rPr>
              <w:t>Rechts oder der Nutzung einer Dienstleistung bzw. Durchführung eines Vertrags hindert</w:t>
            </w:r>
            <w:r w:rsidRPr="00D645C3">
              <w:rPr>
                <w:i/>
              </w:rPr>
              <w:t>“</w:t>
            </w:r>
            <w:r w:rsidRPr="00D645C3">
              <w:t xml:space="preserve"> (Artikel 22 und Erwägungsgrund 91). Hierzu zählen Ve</w:t>
            </w:r>
            <w:r w:rsidRPr="00D645C3">
              <w:t>r</w:t>
            </w:r>
            <w:r w:rsidRPr="00D645C3">
              <w:t>arbeitungsvorgänge, mit deren Hilfe B</w:t>
            </w:r>
            <w:r w:rsidRPr="00D645C3">
              <w:t>e</w:t>
            </w:r>
            <w:r w:rsidRPr="00D645C3">
              <w:lastRenderedPageBreak/>
              <w:t>troffenen der Zugriff auf eine Dienstlei</w:t>
            </w:r>
            <w:r w:rsidRPr="00D645C3">
              <w:t>s</w:t>
            </w:r>
            <w:r w:rsidRPr="00D645C3">
              <w:t>tung oder der Abschluss eines Vertrags gestattet, geändert oder verwehrt we</w:t>
            </w:r>
            <w:r w:rsidRPr="00D645C3">
              <w:t>r</w:t>
            </w:r>
            <w:r w:rsidRPr="00D645C3">
              <w:t xml:space="preserve">den soll. </w:t>
            </w:r>
          </w:p>
        </w:tc>
        <w:tc>
          <w:tcPr>
            <w:tcW w:w="4503" w:type="dxa"/>
            <w:tcBorders>
              <w:top w:val="single" w:sz="4" w:space="0" w:color="000001"/>
              <w:bottom w:val="single" w:sz="4" w:space="0" w:color="000001"/>
            </w:tcBorders>
            <w:shd w:val="clear" w:color="auto" w:fill="auto"/>
          </w:tcPr>
          <w:p w14:paraId="28CE98D1" w14:textId="77777777" w:rsidR="00D645C3" w:rsidRPr="00D645C3" w:rsidRDefault="00D645C3" w:rsidP="00D645C3"/>
        </w:tc>
      </w:tr>
    </w:tbl>
    <w:p w14:paraId="00642F1F" w14:textId="77777777" w:rsidR="00D645C3" w:rsidRPr="00D645C3" w:rsidRDefault="00D645C3" w:rsidP="00D645C3">
      <w:r w:rsidRPr="00D645C3">
        <w:lastRenderedPageBreak/>
        <w:br w:type="page"/>
      </w:r>
    </w:p>
    <w:p w14:paraId="0E4100B4" w14:textId="350AFBB1" w:rsidR="007320D0" w:rsidRPr="007320D0" w:rsidRDefault="007320D0" w:rsidP="00C87A03">
      <w:pPr>
        <w:pStyle w:val="berschrift3"/>
      </w:pPr>
      <w:r w:rsidRPr="007320D0">
        <w:lastRenderedPageBreak/>
        <w:t>Vorprüfung zur Schwellwertanalyse</w:t>
      </w:r>
    </w:p>
    <w:p w14:paraId="06D13397" w14:textId="77777777" w:rsidR="007320D0" w:rsidRDefault="007320D0" w:rsidP="00B831CA">
      <w:r>
        <w:t xml:space="preserve">Eine ausführliche Schwellwertanalyse für jede Verarbeitung ist durch die Hochschulen in der Regel personell nicht leistbar. Es wird deshalb eine Vorprüfung zur Schwellwertanalyse vorgeschlagen, in der die fachlich Verantwortlichen, ggf. unterstützt durch die Datenschutzkoordinatoren, eine erste Einschätzung anhand der konkretisierten Kriterien vornehmen. </w:t>
      </w:r>
    </w:p>
    <w:p w14:paraId="4DE3FA74" w14:textId="77777777" w:rsidR="00D609E4" w:rsidRDefault="007320D0" w:rsidP="00B831CA">
      <w:r>
        <w:t xml:space="preserve">Ist kein Kriterium einschlägig, erfolgt keine DSFA. </w:t>
      </w:r>
    </w:p>
    <w:p w14:paraId="720DAA7F" w14:textId="77777777" w:rsidR="00D609E4" w:rsidRDefault="007320D0" w:rsidP="00B831CA">
      <w:r>
        <w:t>Bestehen Unsicherheiten muss sich der fachlich Verantwortliche an die zuständige Stelle zur weit</w:t>
      </w:r>
      <w:r>
        <w:t>e</w:t>
      </w:r>
      <w:r>
        <w:t xml:space="preserve">ren Prüfung wenden. </w:t>
      </w:r>
    </w:p>
    <w:p w14:paraId="242AAACF" w14:textId="43E1535F" w:rsidR="00D609E4" w:rsidRDefault="007320D0" w:rsidP="00B831CA">
      <w:r>
        <w:t xml:space="preserve">Eine erweiterte </w:t>
      </w:r>
      <w:r w:rsidR="00D609E4">
        <w:t>Schwellwertanalyse findet statt, wenn mindestens ein Kriterium nach der Vorprüfung vorliegt.</w:t>
      </w:r>
    </w:p>
    <w:p w14:paraId="36482EAA" w14:textId="2D31EF56" w:rsidR="00686D15" w:rsidRDefault="00686D15" w:rsidP="00B831CA">
      <w:r>
        <w:t>Da die Entscheidung über das weitere Vorgehen den fachlich Verantwortlichen überlassen wird, stellt sich die Frage der Überprüfung der Einschätzung</w:t>
      </w:r>
      <w:r w:rsidR="00416FC1">
        <w:t>. Eine generelle Kontrolle ist im Hochschulumfeld nicht leistbar. Werden andererseits überhaupt keine Maßnahmen vorgesehen, besteht die Gefahr eines Organisationsverschuldens, wenn diese Entscheidungen in größerem Maße falsch getroffen werden. Es wird deshalb vorgeschlagen, die fachlich Verantwortlichen auf die Wichtigkeit einer ric</w:t>
      </w:r>
      <w:r w:rsidR="00416FC1">
        <w:t>h</w:t>
      </w:r>
      <w:r w:rsidR="00416FC1">
        <w:t>tigen Einschätzung hinzuweisen und stichprobenhafte Kontrollen anzukündigen.</w:t>
      </w:r>
    </w:p>
    <w:p w14:paraId="32C46BBC" w14:textId="77777777" w:rsidR="00D609E4" w:rsidRDefault="00D609E4" w:rsidP="00B831CA"/>
    <w:p w14:paraId="166822B2" w14:textId="77777777" w:rsidR="00D609E4" w:rsidRPr="00D609E4" w:rsidRDefault="00D609E4" w:rsidP="00C87A03">
      <w:pPr>
        <w:pStyle w:val="berschrift3"/>
      </w:pPr>
      <w:r w:rsidRPr="00D609E4">
        <w:t>Erweiterte Schwellwertanalyse</w:t>
      </w:r>
    </w:p>
    <w:p w14:paraId="627B7228" w14:textId="430A926D" w:rsidR="007320D0" w:rsidRDefault="00D609E4" w:rsidP="00B831CA">
      <w:r>
        <w:t>Bei der erweiterten Schwellwertanalyse sind neben de</w:t>
      </w:r>
      <w:r w:rsidR="00C87A03">
        <w:t>n</w:t>
      </w:r>
      <w:r>
        <w:t xml:space="preserve"> fachlich Verantwortlichen, der</w:t>
      </w:r>
      <w:r w:rsidR="00C87A03">
        <w:t>/die</w:t>
      </w:r>
      <w:r>
        <w:t xml:space="preserve"> Date</w:t>
      </w:r>
      <w:r>
        <w:t>n</w:t>
      </w:r>
      <w:r>
        <w:t>schutzbeauftragte, der</w:t>
      </w:r>
      <w:r w:rsidR="00C87A03">
        <w:t>/die</w:t>
      </w:r>
      <w:r>
        <w:t xml:space="preserve"> Informationssicherheitsbeauftragte und ggf. das Rechenzentrum zu bete</w:t>
      </w:r>
      <w:r>
        <w:t>i</w:t>
      </w:r>
      <w:r>
        <w:t xml:space="preserve">ligen. </w:t>
      </w:r>
      <w:r w:rsidR="00C87A03">
        <w:t>Nur in dieser Zusammensetzung ist gewährleistet, dass konkret bestehende erhöhte Risiken richtig erkannt werden können. Bezüglich der Dokumentation der Schwellwertanalyse bestehen fo</w:t>
      </w:r>
      <w:r w:rsidR="00C87A03">
        <w:t>l</w:t>
      </w:r>
      <w:r w:rsidR="00C87A03">
        <w:t>gende Anforderungen des LDI (Dokument: Liste für Verarbeitungstätigkeiten nach Art. 35 Abs. 4 DS-GVO:</w:t>
      </w:r>
    </w:p>
    <w:p w14:paraId="3C032557" w14:textId="6061FF2C" w:rsidR="00C466AF" w:rsidRPr="00C87A03" w:rsidRDefault="00C87A03" w:rsidP="00B831CA">
      <w:pPr>
        <w:rPr>
          <w:i/>
        </w:rPr>
      </w:pPr>
      <w:r w:rsidRPr="00C87A03">
        <w:rPr>
          <w:i/>
        </w:rPr>
        <w:t>„</w:t>
      </w:r>
      <w:r w:rsidR="00C466AF" w:rsidRPr="00C87A03">
        <w:rPr>
          <w:i/>
        </w:rPr>
        <w:t>Das Ergebnis der Vorabprüfung (Schwellwertanalyse) und die zugrunde gelegten Einschätzungen der im Zuge der Verarbeitungstätigkeit möglicherweise auftretenden Schäden sowie die resultierende Schwere und Eintrittswahrscheinlichkeit der Risiken sind zu dokumentieren.</w:t>
      </w:r>
      <w:r w:rsidRPr="00C87A03">
        <w:rPr>
          <w:i/>
        </w:rPr>
        <w:t>“</w:t>
      </w:r>
    </w:p>
    <w:p w14:paraId="5FBC4EC0" w14:textId="770B7652" w:rsidR="00E17844" w:rsidRDefault="002B5CFD" w:rsidP="00B831CA">
      <w:r>
        <w:t xml:space="preserve">Die </w:t>
      </w:r>
      <w:r w:rsidR="00646B2D">
        <w:t>Formulierung des LDI legt nahe, dass die Beurteilung eines hohen Risikos sich nicht nur nach der potentiellen Schadenshöhe, sondern auch nach der Eintrittswahrscheinlichkeit bestimmt. Somit e</w:t>
      </w:r>
      <w:r w:rsidR="00646B2D">
        <w:t>r</w:t>
      </w:r>
      <w:r w:rsidR="00646B2D">
        <w:t>geben sich die folgenden inhaltlichen Anforderungen:</w:t>
      </w:r>
    </w:p>
    <w:p w14:paraId="0DC731F6" w14:textId="74BB4B0C" w:rsidR="00646B2D" w:rsidRDefault="00646B2D" w:rsidP="00646B2D">
      <w:pPr>
        <w:pStyle w:val="Listenabsatz"/>
        <w:numPr>
          <w:ilvl w:val="0"/>
          <w:numId w:val="21"/>
        </w:numPr>
      </w:pPr>
      <w:r>
        <w:t>Es müssen die möglichen Schadensszenarien durch die Verarbeitung anhand der Risiken a) – i) bestimmt werden.</w:t>
      </w:r>
    </w:p>
    <w:p w14:paraId="503B1228" w14:textId="2863C285" w:rsidR="00646B2D" w:rsidRDefault="00646B2D" w:rsidP="00646B2D">
      <w:pPr>
        <w:pStyle w:val="Listenabsatz"/>
        <w:numPr>
          <w:ilvl w:val="0"/>
          <w:numId w:val="21"/>
        </w:numPr>
      </w:pPr>
      <w:r>
        <w:t>Für jedes Schadensszenario muss der mögliche Schaden und die Eintrittswahrscheinlichkeit des Schadens einfließen. Hierbei sind die bereits vorgesehenen (Standard-) Sicherheitsma</w:t>
      </w:r>
      <w:r>
        <w:t>ß</w:t>
      </w:r>
      <w:r>
        <w:t>nahmen zu berücksichtigen. Dieses Vorgehen erinnert an das Vorgehen in der Information</w:t>
      </w:r>
      <w:r>
        <w:t>s</w:t>
      </w:r>
      <w:r>
        <w:t>sicherheit bei der Schutzbedarfsanalyse, wo ebenfalls das Risiko anhand des potentiellen Schadens und der Eintrittswahrscheinlichkeit bestimmt wird.</w:t>
      </w:r>
    </w:p>
    <w:p w14:paraId="162A33B2" w14:textId="24BBB6F4" w:rsidR="00646B2D" w:rsidRDefault="00351E47" w:rsidP="00646B2D">
      <w:r>
        <w:t>Anhand dieser Anforderungen bietet sich das Vorgehen über eine Matrix an, die für jedes ermittelte Schadensszenario angewendet wird. Diese ersetzt zwar nicht die Einschätzung, kann aber bei der Beurteilung eines hohen Risikos helfen:</w:t>
      </w:r>
    </w:p>
    <w:p w14:paraId="5625F4EA" w14:textId="53CB962C" w:rsidR="00E17844" w:rsidRPr="00E17844" w:rsidRDefault="00E17844" w:rsidP="00B831CA">
      <w:pPr>
        <w:rPr>
          <w:b/>
        </w:rPr>
      </w:pPr>
      <w:r w:rsidRPr="00E17844">
        <w:rPr>
          <w:b/>
        </w:rPr>
        <w:t>Schadensszenario</w:t>
      </w:r>
      <w:r w:rsidR="00351E47">
        <w:rPr>
          <w:b/>
        </w:rPr>
        <w:t xml:space="preserve"> anhand der Risiken in a)-i): …</w:t>
      </w:r>
    </w:p>
    <w:tbl>
      <w:tblPr>
        <w:tblStyle w:val="Tabellenraster"/>
        <w:tblW w:w="0" w:type="auto"/>
        <w:tblLook w:val="04A0" w:firstRow="1" w:lastRow="0" w:firstColumn="1" w:lastColumn="0" w:noHBand="0" w:noVBand="1"/>
      </w:tblPr>
      <w:tblGrid>
        <w:gridCol w:w="2265"/>
        <w:gridCol w:w="2265"/>
        <w:gridCol w:w="2266"/>
        <w:gridCol w:w="2266"/>
      </w:tblGrid>
      <w:tr w:rsidR="00E17844" w14:paraId="36E4DBA4" w14:textId="77777777" w:rsidTr="00E17844">
        <w:tc>
          <w:tcPr>
            <w:tcW w:w="2265" w:type="dxa"/>
          </w:tcPr>
          <w:p w14:paraId="093194B2" w14:textId="77777777" w:rsidR="00E17844" w:rsidRDefault="00E17844" w:rsidP="00B831CA">
            <w:bookmarkStart w:id="4" w:name="_Hlk529193726"/>
            <w:r>
              <w:lastRenderedPageBreak/>
              <w:t>Schwerer Schaden</w:t>
            </w:r>
          </w:p>
        </w:tc>
        <w:tc>
          <w:tcPr>
            <w:tcW w:w="2265" w:type="dxa"/>
          </w:tcPr>
          <w:p w14:paraId="4E22226A" w14:textId="77777777" w:rsidR="00E17844" w:rsidRDefault="00E17844" w:rsidP="00B831CA">
            <w:r w:rsidRPr="00E17844">
              <w:rPr>
                <w:highlight w:val="red"/>
              </w:rPr>
              <w:t xml:space="preserve">Niedrige </w:t>
            </w:r>
            <w:proofErr w:type="spellStart"/>
            <w:r w:rsidRPr="00E17844">
              <w:rPr>
                <w:highlight w:val="red"/>
              </w:rPr>
              <w:t>Wahrsch</w:t>
            </w:r>
            <w:proofErr w:type="spellEnd"/>
            <w:r w:rsidRPr="00E17844">
              <w:rPr>
                <w:highlight w:val="red"/>
              </w:rPr>
              <w:t>.</w:t>
            </w:r>
          </w:p>
        </w:tc>
        <w:tc>
          <w:tcPr>
            <w:tcW w:w="2266" w:type="dxa"/>
          </w:tcPr>
          <w:p w14:paraId="0E8F2DBA" w14:textId="77777777" w:rsidR="00E17844" w:rsidRDefault="00E17844" w:rsidP="00B831CA">
            <w:r w:rsidRPr="00E17844">
              <w:rPr>
                <w:highlight w:val="red"/>
              </w:rPr>
              <w:t xml:space="preserve">Mittlere </w:t>
            </w:r>
            <w:proofErr w:type="spellStart"/>
            <w:r w:rsidRPr="00E17844">
              <w:rPr>
                <w:highlight w:val="red"/>
              </w:rPr>
              <w:t>Wahrsch</w:t>
            </w:r>
            <w:proofErr w:type="spellEnd"/>
            <w:r w:rsidRPr="00E17844">
              <w:rPr>
                <w:highlight w:val="red"/>
              </w:rPr>
              <w:t>.</w:t>
            </w:r>
          </w:p>
        </w:tc>
        <w:tc>
          <w:tcPr>
            <w:tcW w:w="2266" w:type="dxa"/>
          </w:tcPr>
          <w:p w14:paraId="25D9FDA8" w14:textId="77777777" w:rsidR="00E17844" w:rsidRPr="00E17844" w:rsidRDefault="00E17844" w:rsidP="00B831C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r w:rsidR="00E17844" w14:paraId="1C32F989" w14:textId="77777777" w:rsidTr="00E17844">
        <w:tc>
          <w:tcPr>
            <w:tcW w:w="2265" w:type="dxa"/>
          </w:tcPr>
          <w:p w14:paraId="04CAF29B" w14:textId="77777777" w:rsidR="00E17844" w:rsidRDefault="00E17844" w:rsidP="00B831CA">
            <w:r>
              <w:t>Normaler Schaden</w:t>
            </w:r>
          </w:p>
        </w:tc>
        <w:tc>
          <w:tcPr>
            <w:tcW w:w="2265" w:type="dxa"/>
          </w:tcPr>
          <w:p w14:paraId="78C9D77B" w14:textId="77777777" w:rsidR="00E17844" w:rsidRPr="00E17844" w:rsidRDefault="00E17844" w:rsidP="00B831CA">
            <w:pPr>
              <w:rPr>
                <w:highlight w:val="green"/>
              </w:rPr>
            </w:pPr>
            <w:r w:rsidRPr="00E17844">
              <w:rPr>
                <w:highlight w:val="green"/>
              </w:rPr>
              <w:t xml:space="preserve">Niedrige </w:t>
            </w:r>
            <w:proofErr w:type="spellStart"/>
            <w:r w:rsidRPr="00E17844">
              <w:rPr>
                <w:highlight w:val="green"/>
              </w:rPr>
              <w:t>Wahrsch</w:t>
            </w:r>
            <w:proofErr w:type="spellEnd"/>
            <w:r w:rsidRPr="00E17844">
              <w:rPr>
                <w:highlight w:val="green"/>
              </w:rPr>
              <w:t>.</w:t>
            </w:r>
          </w:p>
        </w:tc>
        <w:tc>
          <w:tcPr>
            <w:tcW w:w="2266" w:type="dxa"/>
          </w:tcPr>
          <w:p w14:paraId="725C8C35" w14:textId="77777777" w:rsidR="00E17844" w:rsidRPr="00E17844" w:rsidRDefault="00E17844" w:rsidP="00B831CA">
            <w:pPr>
              <w:rPr>
                <w:highlight w:val="green"/>
              </w:rPr>
            </w:pPr>
            <w:r w:rsidRPr="00E17844">
              <w:rPr>
                <w:highlight w:val="green"/>
              </w:rPr>
              <w:t xml:space="preserve">Mittlere </w:t>
            </w:r>
            <w:proofErr w:type="spellStart"/>
            <w:r w:rsidRPr="00E17844">
              <w:rPr>
                <w:highlight w:val="green"/>
              </w:rPr>
              <w:t>Wahrsch</w:t>
            </w:r>
            <w:proofErr w:type="spellEnd"/>
            <w:r w:rsidRPr="00E17844">
              <w:rPr>
                <w:highlight w:val="green"/>
              </w:rPr>
              <w:t>.</w:t>
            </w:r>
          </w:p>
        </w:tc>
        <w:tc>
          <w:tcPr>
            <w:tcW w:w="2266" w:type="dxa"/>
          </w:tcPr>
          <w:p w14:paraId="637BB747" w14:textId="77777777" w:rsidR="00E17844" w:rsidRPr="00E17844" w:rsidRDefault="00E17844" w:rsidP="00B831C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r w:rsidR="00E17844" w14:paraId="6C0A3DDB" w14:textId="77777777" w:rsidTr="00E17844">
        <w:tc>
          <w:tcPr>
            <w:tcW w:w="2265" w:type="dxa"/>
          </w:tcPr>
          <w:p w14:paraId="6A9BAEF8" w14:textId="77777777" w:rsidR="00E17844" w:rsidRDefault="00E17844" w:rsidP="00B831CA">
            <w:r>
              <w:t>Geringer Schaden</w:t>
            </w:r>
          </w:p>
        </w:tc>
        <w:tc>
          <w:tcPr>
            <w:tcW w:w="2265" w:type="dxa"/>
          </w:tcPr>
          <w:p w14:paraId="719454C1" w14:textId="77777777" w:rsidR="00E17844" w:rsidRPr="00E17844" w:rsidRDefault="00E17844" w:rsidP="00B831CA">
            <w:pPr>
              <w:rPr>
                <w:highlight w:val="green"/>
              </w:rPr>
            </w:pPr>
            <w:r w:rsidRPr="00E17844">
              <w:rPr>
                <w:highlight w:val="green"/>
              </w:rPr>
              <w:t xml:space="preserve">Niedrige </w:t>
            </w:r>
            <w:proofErr w:type="spellStart"/>
            <w:r w:rsidRPr="00E17844">
              <w:rPr>
                <w:highlight w:val="green"/>
              </w:rPr>
              <w:t>Wahrsch</w:t>
            </w:r>
            <w:proofErr w:type="spellEnd"/>
            <w:r w:rsidRPr="00E17844">
              <w:rPr>
                <w:highlight w:val="green"/>
              </w:rPr>
              <w:t>.</w:t>
            </w:r>
          </w:p>
        </w:tc>
        <w:tc>
          <w:tcPr>
            <w:tcW w:w="2266" w:type="dxa"/>
          </w:tcPr>
          <w:p w14:paraId="62846932" w14:textId="77777777" w:rsidR="00E17844" w:rsidRPr="00E17844" w:rsidRDefault="00E17844" w:rsidP="00B831CA">
            <w:pPr>
              <w:rPr>
                <w:highlight w:val="green"/>
              </w:rPr>
            </w:pPr>
            <w:r w:rsidRPr="00E17844">
              <w:rPr>
                <w:highlight w:val="green"/>
              </w:rPr>
              <w:t xml:space="preserve">Mittlere </w:t>
            </w:r>
            <w:proofErr w:type="spellStart"/>
            <w:r w:rsidRPr="00E17844">
              <w:rPr>
                <w:highlight w:val="green"/>
              </w:rPr>
              <w:t>Wahrsch</w:t>
            </w:r>
            <w:proofErr w:type="spellEnd"/>
            <w:r w:rsidRPr="00E17844">
              <w:rPr>
                <w:highlight w:val="green"/>
              </w:rPr>
              <w:t>.</w:t>
            </w:r>
          </w:p>
        </w:tc>
        <w:tc>
          <w:tcPr>
            <w:tcW w:w="2266" w:type="dxa"/>
          </w:tcPr>
          <w:p w14:paraId="0CC49163" w14:textId="77777777" w:rsidR="00E17844" w:rsidRPr="00E17844" w:rsidRDefault="00E17844" w:rsidP="00B831C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bl>
    <w:p w14:paraId="2C94ABD9" w14:textId="2D36F21F" w:rsidR="003B191C" w:rsidRPr="00351E47" w:rsidRDefault="003B191C" w:rsidP="00B831CA">
      <w:pPr>
        <w:rPr>
          <w:b/>
        </w:rPr>
      </w:pPr>
      <w:r w:rsidRPr="003B191C">
        <w:rPr>
          <w:b/>
        </w:rPr>
        <w:t>Begründung für die Einschätzung</w:t>
      </w:r>
      <w:r w:rsidR="00351E47">
        <w:rPr>
          <w:b/>
        </w:rPr>
        <w:t xml:space="preserve"> der möglichen Schadensintensität und der Wahrscheinlichkeit</w:t>
      </w:r>
      <w:r w:rsidRPr="003B191C">
        <w:rPr>
          <w:b/>
        </w:rPr>
        <w:t xml:space="preserve">: </w:t>
      </w:r>
      <w:r>
        <w:rPr>
          <w:b/>
        </w:rPr>
        <w:t>…</w:t>
      </w:r>
      <w:bookmarkEnd w:id="4"/>
    </w:p>
    <w:p w14:paraId="23E6F246" w14:textId="77777777" w:rsidR="00351E47" w:rsidRDefault="003B191C" w:rsidP="00B831CA">
      <w:pPr>
        <w:rPr>
          <w:b/>
        </w:rPr>
      </w:pPr>
      <w:bookmarkStart w:id="5" w:name="_Hlk529538380"/>
      <w:r w:rsidRPr="003B191C">
        <w:rPr>
          <w:b/>
        </w:rPr>
        <w:t>Auswertung:</w:t>
      </w:r>
    </w:p>
    <w:p w14:paraId="0B11A9B3" w14:textId="151E0480" w:rsidR="0067104C" w:rsidRPr="0067104C" w:rsidRDefault="00E17844" w:rsidP="00351E47">
      <w:pPr>
        <w:pStyle w:val="Listenabsatz"/>
        <w:numPr>
          <w:ilvl w:val="0"/>
          <w:numId w:val="22"/>
        </w:numPr>
        <w:rPr>
          <w:b/>
        </w:rPr>
      </w:pPr>
      <w:r>
        <w:t>Rot</w:t>
      </w:r>
      <w:r w:rsidR="00351E47">
        <w:t>: Es besteht ein hohes Risiko</w:t>
      </w:r>
      <w:r w:rsidR="0067104C">
        <w:t>.</w:t>
      </w:r>
      <w:r>
        <w:t xml:space="preserve"> </w:t>
      </w:r>
      <w:r w:rsidR="0067104C">
        <w:t>Gibt es ein weiteres Schadensszenario mit einem hohen R</w:t>
      </w:r>
      <w:r w:rsidR="0067104C">
        <w:t>i</w:t>
      </w:r>
      <w:r w:rsidR="0067104C">
        <w:t>siko anhand der Risiken a)-i), muss eine DSFA durchgeführt werden.</w:t>
      </w:r>
      <w:r w:rsidR="003B191C">
        <w:t xml:space="preserve"> </w:t>
      </w:r>
    </w:p>
    <w:p w14:paraId="0DABEB60" w14:textId="7D3597B5" w:rsidR="00D52E7E" w:rsidRPr="0067104C" w:rsidRDefault="003B191C" w:rsidP="00351E47">
      <w:pPr>
        <w:pStyle w:val="Listenabsatz"/>
        <w:numPr>
          <w:ilvl w:val="0"/>
          <w:numId w:val="22"/>
        </w:numPr>
        <w:rPr>
          <w:b/>
        </w:rPr>
      </w:pPr>
      <w:r>
        <w:t>Grün</w:t>
      </w:r>
      <w:r w:rsidR="0067104C">
        <w:t>:</w:t>
      </w:r>
      <w:r>
        <w:t xml:space="preserve"> </w:t>
      </w:r>
      <w:r w:rsidR="0067104C">
        <w:t>Es besteht kein hohes Risiko.</w:t>
      </w:r>
    </w:p>
    <w:p w14:paraId="0C09F6D7" w14:textId="36198C22" w:rsidR="0067104C" w:rsidRPr="0067104C" w:rsidRDefault="0067104C" w:rsidP="00351E47">
      <w:pPr>
        <w:pStyle w:val="Listenabsatz"/>
        <w:numPr>
          <w:ilvl w:val="0"/>
          <w:numId w:val="22"/>
        </w:numPr>
      </w:pPr>
      <w:r w:rsidRPr="0067104C">
        <w:t>Hohe Wahrscheinlichkeit für einen schweren Schaden:</w:t>
      </w:r>
      <w:r>
        <w:t xml:space="preserve"> Es besteht ein sehr hohes Risiko. IN diesem Fall ist in jedem Fall eine DSFA durchzuführen.</w:t>
      </w:r>
      <w:bookmarkEnd w:id="5"/>
    </w:p>
    <w:p w14:paraId="3D2D7C1C" w14:textId="0AFC1D5B" w:rsidR="0067104C" w:rsidRDefault="0067104C" w:rsidP="003B191C">
      <w:pPr>
        <w:rPr>
          <w:b/>
        </w:rPr>
      </w:pPr>
      <w:r>
        <w:rPr>
          <w:b/>
        </w:rPr>
        <w:t>Mögliche Ergebnisse in Schritt 3</w:t>
      </w:r>
    </w:p>
    <w:p w14:paraId="796A4FF0" w14:textId="520DF76E" w:rsidR="003B191C" w:rsidRDefault="0067104C" w:rsidP="003B191C">
      <w:r>
        <w:rPr>
          <w:b/>
        </w:rPr>
        <w:t>Doppeltes hohes oder sehr hohes Risiko</w:t>
      </w:r>
      <w:r w:rsidR="003B191C" w:rsidRPr="000D4CC2">
        <w:rPr>
          <w:b/>
        </w:rPr>
        <w:t>:</w:t>
      </w:r>
      <w:r w:rsidR="003B191C">
        <w:t xml:space="preserve"> </w:t>
      </w:r>
      <w:r w:rsidRPr="007A7A02">
        <w:t>Eine</w:t>
      </w:r>
      <w:r>
        <w:t xml:space="preserve"> DSFA ist erforderlich. Gegebenenfalls kann eine gr</w:t>
      </w:r>
      <w:r>
        <w:t>ö</w:t>
      </w:r>
      <w:r>
        <w:t>ßere Verarbeitung in mehrere kleinere Verarbeitungen aufgeteilt werden, um den Bereich für eine erforderliche DSFA zu verkleinern.</w:t>
      </w:r>
    </w:p>
    <w:p w14:paraId="4FC9C4E8" w14:textId="7CDA10F2" w:rsidR="0032609C" w:rsidRPr="0032609C" w:rsidRDefault="003B191C" w:rsidP="0032609C">
      <w:r w:rsidRPr="000D4CC2">
        <w:rPr>
          <w:b/>
        </w:rPr>
        <w:t>Wenn nein:</w:t>
      </w:r>
      <w:r>
        <w:t xml:space="preserve"> Es ist keine DSFA erforderlich! Ende der Prüfung.</w:t>
      </w:r>
    </w:p>
    <w:p w14:paraId="0A93DB57" w14:textId="77777777" w:rsidR="0032609C" w:rsidRDefault="0032609C" w:rsidP="00FF0E3F"/>
    <w:p w14:paraId="65525106" w14:textId="77777777" w:rsidR="00EB4871" w:rsidRPr="00E052E6" w:rsidRDefault="00EB4871" w:rsidP="00E052E6">
      <w:pPr>
        <w:pStyle w:val="berschrift1"/>
      </w:pPr>
      <w:r w:rsidRPr="00E052E6">
        <w:t>DSFA durchführen</w:t>
      </w:r>
    </w:p>
    <w:p w14:paraId="40701725" w14:textId="016598F1" w:rsidR="00FF0E3F" w:rsidRPr="002D7E1F" w:rsidRDefault="0067104C" w:rsidP="00FF0E3F">
      <w:pPr>
        <w:rPr>
          <w:b/>
        </w:rPr>
      </w:pPr>
      <w:r>
        <w:t xml:space="preserve">Die inhaltlichen Mindestanforderungen an eine DSFA ergeben sich aus </w:t>
      </w:r>
      <w:r w:rsidR="00DE59CB" w:rsidRPr="0067104C">
        <w:t>Art 35 Abs. 7 DSGVO</w:t>
      </w:r>
      <w:r>
        <w:t>. Es muss erfolgen:</w:t>
      </w:r>
    </w:p>
    <w:p w14:paraId="2734CD65" w14:textId="77777777" w:rsidR="00DE59CB" w:rsidRDefault="00DE59CB" w:rsidP="00DE59CB">
      <w:pPr>
        <w:pStyle w:val="Listenabsatz"/>
        <w:numPr>
          <w:ilvl w:val="0"/>
          <w:numId w:val="6"/>
        </w:numPr>
      </w:pPr>
      <w:r>
        <w:t>Eine systematische Beschreibung der geplanten Verarbeitungsvorgänge und der Zwecke der Verarbeitung, gegebenenfalls einschließlich der von dem Verantwortlichen verfolgten b</w:t>
      </w:r>
      <w:r>
        <w:t>e</w:t>
      </w:r>
      <w:r>
        <w:t xml:space="preserve">rechtigten Interessen. </w:t>
      </w:r>
      <w:r>
        <w:sym w:font="Wingdings" w:char="F0E0"/>
      </w:r>
      <w:r>
        <w:t xml:space="preserve"> </w:t>
      </w:r>
      <w:r w:rsidRPr="00DE59CB">
        <w:rPr>
          <w:i/>
        </w:rPr>
        <w:t>Bereits im Rahmen der Schwellwertanalyse erfolgt!</w:t>
      </w:r>
    </w:p>
    <w:p w14:paraId="2FB86533" w14:textId="77777777" w:rsidR="00DE59CB" w:rsidRDefault="00DE59CB" w:rsidP="00DE59CB">
      <w:pPr>
        <w:pStyle w:val="Listenabsatz"/>
        <w:numPr>
          <w:ilvl w:val="0"/>
          <w:numId w:val="6"/>
        </w:numPr>
      </w:pPr>
      <w:r>
        <w:t>Eine Bewertung der Notwendigkeit und Verhältnismäßigkeit der Verarbeitungsvorgänge in Bezug auf den Zweck.</w:t>
      </w:r>
    </w:p>
    <w:p w14:paraId="500F1045" w14:textId="77777777" w:rsidR="00DE59CB" w:rsidRPr="002D7E1F" w:rsidRDefault="00DE59CB" w:rsidP="00DE59CB">
      <w:pPr>
        <w:pStyle w:val="Listenabsatz"/>
        <w:numPr>
          <w:ilvl w:val="1"/>
          <w:numId w:val="6"/>
        </w:numPr>
        <w:rPr>
          <w:i/>
        </w:rPr>
      </w:pPr>
      <w:r w:rsidRPr="002D7E1F">
        <w:rPr>
          <w:i/>
        </w:rPr>
        <w:t>Kann der Zweck gegebenenfalls mit weniger einschneidenden Maßnahmen erreicht werden?</w:t>
      </w:r>
    </w:p>
    <w:p w14:paraId="6CF0107D" w14:textId="77777777" w:rsidR="00DE59CB" w:rsidRPr="002D7E1F" w:rsidRDefault="00DE59CB" w:rsidP="00DE59CB">
      <w:pPr>
        <w:pStyle w:val="Listenabsatz"/>
        <w:numPr>
          <w:ilvl w:val="1"/>
          <w:numId w:val="6"/>
        </w:numPr>
        <w:rPr>
          <w:i/>
        </w:rPr>
      </w:pPr>
      <w:r w:rsidRPr="002D7E1F">
        <w:rPr>
          <w:i/>
        </w:rPr>
        <w:t>Wenn</w:t>
      </w:r>
      <w:r w:rsidR="00EF7F6B" w:rsidRPr="002D7E1F">
        <w:rPr>
          <w:i/>
        </w:rPr>
        <w:t xml:space="preserve"> a)</w:t>
      </w:r>
      <w:r w:rsidRPr="002D7E1F">
        <w:rPr>
          <w:i/>
        </w:rPr>
        <w:t xml:space="preserve"> nein: </w:t>
      </w:r>
      <w:r w:rsidR="00EF7F6B" w:rsidRPr="002D7E1F">
        <w:rPr>
          <w:i/>
        </w:rPr>
        <w:t>Ist das Maß der Grundrechtsbeeinträchtigung durch die Verarbeitung höher zu gewichten als der mit der Verarbeitung verfolgte Zweck? Wenn ja, muss die Verarbeitung unterbleiben.</w:t>
      </w:r>
    </w:p>
    <w:p w14:paraId="50B57B0D" w14:textId="309ADD1E" w:rsidR="00DE59CB" w:rsidRPr="002D7E1F" w:rsidRDefault="00DE59CB" w:rsidP="00DE59CB">
      <w:pPr>
        <w:pStyle w:val="Listenabsatz"/>
        <w:numPr>
          <w:ilvl w:val="0"/>
          <w:numId w:val="6"/>
        </w:numPr>
        <w:rPr>
          <w:i/>
        </w:rPr>
      </w:pPr>
      <w:r>
        <w:t>Eine Bewertung der Risiken für die Rechte und Freiheiten der Betroffenen Personen.</w:t>
      </w:r>
      <w:r w:rsidR="00EF7F6B">
        <w:t xml:space="preserve"> </w:t>
      </w:r>
      <w:r w:rsidR="00EF7F6B">
        <w:sym w:font="Wingdings" w:char="F0E0"/>
      </w:r>
      <w:r w:rsidR="00EF7F6B">
        <w:t xml:space="preserve"> </w:t>
      </w:r>
      <w:r w:rsidR="00EF7F6B" w:rsidRPr="002D7E1F">
        <w:rPr>
          <w:i/>
        </w:rPr>
        <w:t xml:space="preserve">Die Risikobewertung erfolgt bereits bei der Schwellwertanalyse. Anderenfalls </w:t>
      </w:r>
      <w:r w:rsidR="00817AE4">
        <w:rPr>
          <w:i/>
        </w:rPr>
        <w:t xml:space="preserve">(Fälle Art. 35 Abs. 3 oder 4 DSGVO, in denen stets eine DSFA durchzuführen ist) </w:t>
      </w:r>
      <w:r w:rsidR="00EF7F6B" w:rsidRPr="002D7E1F">
        <w:rPr>
          <w:i/>
        </w:rPr>
        <w:t>müssen Risikoszenarien beschri</w:t>
      </w:r>
      <w:r w:rsidR="00EF7F6B" w:rsidRPr="002D7E1F">
        <w:rPr>
          <w:i/>
        </w:rPr>
        <w:t>e</w:t>
      </w:r>
      <w:r w:rsidR="00EF7F6B" w:rsidRPr="002D7E1F">
        <w:rPr>
          <w:i/>
        </w:rPr>
        <w:t>ben und bewertet werden.</w:t>
      </w:r>
    </w:p>
    <w:p w14:paraId="5D3E9470" w14:textId="77777777" w:rsidR="00EF7F6B" w:rsidRDefault="00EF7F6B" w:rsidP="00DE59CB">
      <w:pPr>
        <w:pStyle w:val="Listenabsatz"/>
        <w:numPr>
          <w:ilvl w:val="0"/>
          <w:numId w:val="6"/>
        </w:numPr>
      </w:pPr>
      <w:r>
        <w:t>Die zur Bewältigung der Risiken geplanten Abhilfemaßnahmen, einschließlich Garantien, S</w:t>
      </w:r>
      <w:r>
        <w:t>i</w:t>
      </w:r>
      <w:r>
        <w:t xml:space="preserve">cherheitsvorkehrungen </w:t>
      </w:r>
      <w:r w:rsidR="00797402">
        <w:t>und Verfahren, durch die der Schutz personenbezogener Daten s</w:t>
      </w:r>
      <w:r w:rsidR="00797402">
        <w:t>i</w:t>
      </w:r>
      <w:r w:rsidR="00797402">
        <w:t>chergestellt und der Nachweis dafür erbracht wird, dass die Verordnung eingehalten wird, wobei den Rechten und berechtigten Interessen der betroffenen Personen und sonstiger B</w:t>
      </w:r>
      <w:r w:rsidR="00797402">
        <w:t>e</w:t>
      </w:r>
      <w:r w:rsidR="00797402">
        <w:t>troffener Rechnung getragen wird.</w:t>
      </w:r>
    </w:p>
    <w:p w14:paraId="30DE34A3" w14:textId="3EDC87C4" w:rsidR="00E052E6" w:rsidRDefault="00817AE4" w:rsidP="00E052E6">
      <w:r>
        <w:t>Im Rahmen der geplanten Abhilfemaßnahmen kann zur Vereinfachung ebenfalls wieder auf die Ma</w:t>
      </w:r>
      <w:r>
        <w:t>t</w:t>
      </w:r>
      <w:r>
        <w:t>rix zurückgegriffen werden. Wurd</w:t>
      </w:r>
      <w:r w:rsidR="00C2594D">
        <w:t>e bei einer ausführlichen Schwellwertanalyse eine Matrix erstellt</w:t>
      </w:r>
      <w:r w:rsidR="00563451">
        <w:t>, bietet sich die Wiederholung der Einschätzung anhand der Matrix unter Berücksichtigung der Abhi</w:t>
      </w:r>
      <w:r w:rsidR="00563451">
        <w:t>l</w:t>
      </w:r>
      <w:r w:rsidR="00563451">
        <w:t>femaßnahmen an:</w:t>
      </w:r>
    </w:p>
    <w:p w14:paraId="579628BB" w14:textId="77777777" w:rsidR="00797402" w:rsidRPr="00797402" w:rsidRDefault="00797402" w:rsidP="00797402">
      <w:pPr>
        <w:rPr>
          <w:b/>
        </w:rPr>
      </w:pPr>
      <w:r w:rsidRPr="00797402">
        <w:rPr>
          <w:b/>
        </w:rPr>
        <w:lastRenderedPageBreak/>
        <w:t>Nochmalige Einschätzung unter Berücksichtigung der geplanten Abhilfemaßnahmen:</w:t>
      </w:r>
    </w:p>
    <w:tbl>
      <w:tblPr>
        <w:tblStyle w:val="Tabellenraster"/>
        <w:tblW w:w="0" w:type="auto"/>
        <w:tblLook w:val="04A0" w:firstRow="1" w:lastRow="0" w:firstColumn="1" w:lastColumn="0" w:noHBand="0" w:noVBand="1"/>
      </w:tblPr>
      <w:tblGrid>
        <w:gridCol w:w="2265"/>
        <w:gridCol w:w="2265"/>
        <w:gridCol w:w="2266"/>
        <w:gridCol w:w="2266"/>
      </w:tblGrid>
      <w:tr w:rsidR="00797402" w14:paraId="4821FEDE" w14:textId="77777777" w:rsidTr="00125ABA">
        <w:tc>
          <w:tcPr>
            <w:tcW w:w="2265" w:type="dxa"/>
          </w:tcPr>
          <w:p w14:paraId="36A56DC5" w14:textId="77777777" w:rsidR="00797402" w:rsidRDefault="00797402" w:rsidP="00125ABA">
            <w:r>
              <w:t>Schwerer Schaden</w:t>
            </w:r>
          </w:p>
        </w:tc>
        <w:tc>
          <w:tcPr>
            <w:tcW w:w="2265" w:type="dxa"/>
          </w:tcPr>
          <w:p w14:paraId="0370DE42" w14:textId="77777777" w:rsidR="00797402" w:rsidRDefault="00797402" w:rsidP="00125ABA">
            <w:r w:rsidRPr="00E17844">
              <w:rPr>
                <w:highlight w:val="red"/>
              </w:rPr>
              <w:t xml:space="preserve">Niedrige </w:t>
            </w:r>
            <w:proofErr w:type="spellStart"/>
            <w:r w:rsidRPr="00E17844">
              <w:rPr>
                <w:highlight w:val="red"/>
              </w:rPr>
              <w:t>Wahrsch</w:t>
            </w:r>
            <w:proofErr w:type="spellEnd"/>
            <w:r w:rsidRPr="00E17844">
              <w:rPr>
                <w:highlight w:val="red"/>
              </w:rPr>
              <w:t>.</w:t>
            </w:r>
          </w:p>
        </w:tc>
        <w:tc>
          <w:tcPr>
            <w:tcW w:w="2266" w:type="dxa"/>
          </w:tcPr>
          <w:p w14:paraId="1C0B4C97" w14:textId="77777777" w:rsidR="00797402" w:rsidRDefault="00797402" w:rsidP="00125ABA">
            <w:r w:rsidRPr="00E17844">
              <w:rPr>
                <w:highlight w:val="red"/>
              </w:rPr>
              <w:t xml:space="preserve">Mittlere </w:t>
            </w:r>
            <w:proofErr w:type="spellStart"/>
            <w:r w:rsidRPr="00E17844">
              <w:rPr>
                <w:highlight w:val="red"/>
              </w:rPr>
              <w:t>Wahrsch</w:t>
            </w:r>
            <w:proofErr w:type="spellEnd"/>
            <w:r w:rsidRPr="00E17844">
              <w:rPr>
                <w:highlight w:val="red"/>
              </w:rPr>
              <w:t>.</w:t>
            </w:r>
          </w:p>
        </w:tc>
        <w:tc>
          <w:tcPr>
            <w:tcW w:w="2266" w:type="dxa"/>
          </w:tcPr>
          <w:p w14:paraId="788602AF" w14:textId="77777777" w:rsidR="00797402" w:rsidRPr="00E17844" w:rsidRDefault="00797402" w:rsidP="00125AB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r w:rsidR="00797402" w14:paraId="2DD24DC2" w14:textId="77777777" w:rsidTr="00125ABA">
        <w:tc>
          <w:tcPr>
            <w:tcW w:w="2265" w:type="dxa"/>
          </w:tcPr>
          <w:p w14:paraId="5B3B57E6" w14:textId="77777777" w:rsidR="00797402" w:rsidRDefault="00797402" w:rsidP="00125ABA">
            <w:r>
              <w:t>Normaler Schaden</w:t>
            </w:r>
          </w:p>
        </w:tc>
        <w:tc>
          <w:tcPr>
            <w:tcW w:w="2265" w:type="dxa"/>
          </w:tcPr>
          <w:p w14:paraId="0EA7F6D0" w14:textId="77777777" w:rsidR="00797402" w:rsidRPr="00E17844" w:rsidRDefault="00797402" w:rsidP="00125ABA">
            <w:pPr>
              <w:rPr>
                <w:highlight w:val="green"/>
              </w:rPr>
            </w:pPr>
            <w:r w:rsidRPr="00E17844">
              <w:rPr>
                <w:highlight w:val="green"/>
              </w:rPr>
              <w:t xml:space="preserve">Niedrige </w:t>
            </w:r>
            <w:proofErr w:type="spellStart"/>
            <w:r w:rsidRPr="00E17844">
              <w:rPr>
                <w:highlight w:val="green"/>
              </w:rPr>
              <w:t>Wahrsch</w:t>
            </w:r>
            <w:proofErr w:type="spellEnd"/>
            <w:r w:rsidRPr="00E17844">
              <w:rPr>
                <w:highlight w:val="green"/>
              </w:rPr>
              <w:t>.</w:t>
            </w:r>
          </w:p>
        </w:tc>
        <w:tc>
          <w:tcPr>
            <w:tcW w:w="2266" w:type="dxa"/>
          </w:tcPr>
          <w:p w14:paraId="5CB43E63" w14:textId="77777777" w:rsidR="00797402" w:rsidRPr="00E17844" w:rsidRDefault="00797402" w:rsidP="00125ABA">
            <w:pPr>
              <w:rPr>
                <w:highlight w:val="green"/>
              </w:rPr>
            </w:pPr>
            <w:r w:rsidRPr="00E17844">
              <w:rPr>
                <w:highlight w:val="green"/>
              </w:rPr>
              <w:t xml:space="preserve">Mittlere </w:t>
            </w:r>
            <w:proofErr w:type="spellStart"/>
            <w:r w:rsidRPr="00E17844">
              <w:rPr>
                <w:highlight w:val="green"/>
              </w:rPr>
              <w:t>Wahrsch</w:t>
            </w:r>
            <w:proofErr w:type="spellEnd"/>
            <w:r w:rsidRPr="00E17844">
              <w:rPr>
                <w:highlight w:val="green"/>
              </w:rPr>
              <w:t>.</w:t>
            </w:r>
          </w:p>
        </w:tc>
        <w:tc>
          <w:tcPr>
            <w:tcW w:w="2266" w:type="dxa"/>
          </w:tcPr>
          <w:p w14:paraId="09CA37FB" w14:textId="77777777" w:rsidR="00797402" w:rsidRPr="00E17844" w:rsidRDefault="00797402" w:rsidP="00125AB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r w:rsidR="00797402" w14:paraId="67EFD7BB" w14:textId="77777777" w:rsidTr="00125ABA">
        <w:tc>
          <w:tcPr>
            <w:tcW w:w="2265" w:type="dxa"/>
          </w:tcPr>
          <w:p w14:paraId="77FDE071" w14:textId="77777777" w:rsidR="00797402" w:rsidRDefault="00797402" w:rsidP="00125ABA">
            <w:r>
              <w:t>Geringer Schaden</w:t>
            </w:r>
          </w:p>
        </w:tc>
        <w:tc>
          <w:tcPr>
            <w:tcW w:w="2265" w:type="dxa"/>
          </w:tcPr>
          <w:p w14:paraId="61984E81" w14:textId="77777777" w:rsidR="00797402" w:rsidRPr="00E17844" w:rsidRDefault="00797402" w:rsidP="00125ABA">
            <w:pPr>
              <w:rPr>
                <w:highlight w:val="green"/>
              </w:rPr>
            </w:pPr>
            <w:r w:rsidRPr="00E17844">
              <w:rPr>
                <w:highlight w:val="green"/>
              </w:rPr>
              <w:t xml:space="preserve">Niedrige </w:t>
            </w:r>
            <w:proofErr w:type="spellStart"/>
            <w:r w:rsidRPr="00E17844">
              <w:rPr>
                <w:highlight w:val="green"/>
              </w:rPr>
              <w:t>Wahrsch</w:t>
            </w:r>
            <w:proofErr w:type="spellEnd"/>
            <w:r w:rsidRPr="00E17844">
              <w:rPr>
                <w:highlight w:val="green"/>
              </w:rPr>
              <w:t>.</w:t>
            </w:r>
          </w:p>
        </w:tc>
        <w:tc>
          <w:tcPr>
            <w:tcW w:w="2266" w:type="dxa"/>
          </w:tcPr>
          <w:p w14:paraId="2B0883A8" w14:textId="77777777" w:rsidR="00797402" w:rsidRPr="00E17844" w:rsidRDefault="00797402" w:rsidP="00125ABA">
            <w:pPr>
              <w:rPr>
                <w:highlight w:val="green"/>
              </w:rPr>
            </w:pPr>
            <w:r w:rsidRPr="00E17844">
              <w:rPr>
                <w:highlight w:val="green"/>
              </w:rPr>
              <w:t xml:space="preserve">Mittlere </w:t>
            </w:r>
            <w:proofErr w:type="spellStart"/>
            <w:r w:rsidRPr="00E17844">
              <w:rPr>
                <w:highlight w:val="green"/>
              </w:rPr>
              <w:t>Wahrsch</w:t>
            </w:r>
            <w:proofErr w:type="spellEnd"/>
            <w:r w:rsidRPr="00E17844">
              <w:rPr>
                <w:highlight w:val="green"/>
              </w:rPr>
              <w:t>.</w:t>
            </w:r>
          </w:p>
        </w:tc>
        <w:tc>
          <w:tcPr>
            <w:tcW w:w="2266" w:type="dxa"/>
          </w:tcPr>
          <w:p w14:paraId="00AF80E1" w14:textId="77777777" w:rsidR="00797402" w:rsidRPr="00E17844" w:rsidRDefault="00797402" w:rsidP="00125ABA">
            <w:pPr>
              <w:rPr>
                <w:highlight w:val="red"/>
              </w:rPr>
            </w:pPr>
            <w:r w:rsidRPr="00E17844">
              <w:rPr>
                <w:highlight w:val="red"/>
              </w:rPr>
              <w:t xml:space="preserve">Hohe </w:t>
            </w:r>
            <w:proofErr w:type="spellStart"/>
            <w:r w:rsidRPr="00E17844">
              <w:rPr>
                <w:highlight w:val="red"/>
              </w:rPr>
              <w:t>Wahrsch</w:t>
            </w:r>
            <w:proofErr w:type="spellEnd"/>
            <w:r w:rsidRPr="00E17844">
              <w:rPr>
                <w:highlight w:val="red"/>
              </w:rPr>
              <w:t>.</w:t>
            </w:r>
          </w:p>
        </w:tc>
      </w:tr>
    </w:tbl>
    <w:p w14:paraId="77341046" w14:textId="393E66B1" w:rsidR="00797402" w:rsidRDefault="00797402" w:rsidP="00797402">
      <w:pPr>
        <w:rPr>
          <w:b/>
        </w:rPr>
      </w:pPr>
      <w:r w:rsidRPr="003B191C">
        <w:rPr>
          <w:b/>
        </w:rPr>
        <w:t xml:space="preserve">Begründung für die Einschätzung: </w:t>
      </w:r>
      <w:r>
        <w:rPr>
          <w:b/>
        </w:rPr>
        <w:t>…</w:t>
      </w:r>
    </w:p>
    <w:p w14:paraId="30CDF10E" w14:textId="77777777" w:rsidR="00563451" w:rsidRDefault="00563451" w:rsidP="00563451">
      <w:pPr>
        <w:rPr>
          <w:b/>
        </w:rPr>
      </w:pPr>
      <w:r w:rsidRPr="003B191C">
        <w:rPr>
          <w:b/>
        </w:rPr>
        <w:t>Auswertung:</w:t>
      </w:r>
    </w:p>
    <w:p w14:paraId="67A58146" w14:textId="3D7CD961" w:rsidR="00563451" w:rsidRPr="0067104C" w:rsidRDefault="00563451" w:rsidP="00563451">
      <w:pPr>
        <w:pStyle w:val="Listenabsatz"/>
        <w:numPr>
          <w:ilvl w:val="0"/>
          <w:numId w:val="22"/>
        </w:numPr>
        <w:rPr>
          <w:b/>
        </w:rPr>
      </w:pPr>
      <w:r>
        <w:t>Rot: Es besteht weiterhin ein hohes Risiko. Gibt es trotz der Abhilfemaßnahmen weiter zwei Schadensszenarien mit einem hohen Risiko anhand der Risiken a)-i) oder besteht gar weite</w:t>
      </w:r>
      <w:r>
        <w:t>r</w:t>
      </w:r>
      <w:r>
        <w:t xml:space="preserve">hin eine hohe Wahrscheinlichkeit für einen schweren Schaden, muss eine Konsultation der Aufsichtsbehörde gemäß Art. 36 DSGVO durchgeführt werden. </w:t>
      </w:r>
    </w:p>
    <w:p w14:paraId="713CA6CA" w14:textId="1F0E5001" w:rsidR="00563451" w:rsidRPr="00563451" w:rsidRDefault="00563451" w:rsidP="00797402">
      <w:pPr>
        <w:pStyle w:val="Listenabsatz"/>
        <w:numPr>
          <w:ilvl w:val="0"/>
          <w:numId w:val="22"/>
        </w:numPr>
        <w:rPr>
          <w:b/>
        </w:rPr>
      </w:pPr>
      <w:r>
        <w:t>Grün: Es besteht kein hohes Risiko mehr, weil die Abhilfemaßnahmen ein Unterschreiten des Schwellwerts bewirkt haben.</w:t>
      </w:r>
    </w:p>
    <w:p w14:paraId="6AE3EA0D" w14:textId="77777777" w:rsidR="00DE59CB" w:rsidRDefault="00DE59CB" w:rsidP="00FF0E3F"/>
    <w:p w14:paraId="4496E052" w14:textId="77777777" w:rsidR="00E052E6" w:rsidRDefault="00E052E6" w:rsidP="00E052E6">
      <w:pPr>
        <w:pStyle w:val="berschrift1"/>
      </w:pPr>
      <w:bookmarkStart w:id="6" w:name="_GoBack"/>
      <w:bookmarkEnd w:id="6"/>
      <w:r>
        <w:t>Hilfsmittel zur DSFA</w:t>
      </w:r>
    </w:p>
    <w:p w14:paraId="6B287D55" w14:textId="5EA8029B" w:rsidR="00E052E6" w:rsidRPr="00E052E6" w:rsidRDefault="00563451" w:rsidP="00E052E6">
      <w:r>
        <w:t>Es stellt sich die Frage, inwieweit die DSFA durch Hilfsmittel erleichtert werden kann.</w:t>
      </w:r>
    </w:p>
    <w:p w14:paraId="0B5D1407" w14:textId="77777777" w:rsidR="00E052E6" w:rsidRPr="00E052E6" w:rsidRDefault="00E052E6" w:rsidP="00E052E6">
      <w:pPr>
        <w:keepNext/>
        <w:keepLines/>
        <w:spacing w:before="40" w:after="0"/>
        <w:outlineLvl w:val="1"/>
        <w:rPr>
          <w:rFonts w:asciiTheme="majorHAnsi" w:eastAsiaTheme="majorEastAsia" w:hAnsiTheme="majorHAnsi" w:cstheme="majorBidi"/>
          <w:color w:val="2F5496" w:themeColor="accent1" w:themeShade="BF"/>
          <w:sz w:val="26"/>
          <w:szCs w:val="26"/>
        </w:rPr>
      </w:pPr>
      <w:r w:rsidRPr="00E052E6">
        <w:rPr>
          <w:rFonts w:asciiTheme="majorHAnsi" w:eastAsiaTheme="majorEastAsia" w:hAnsiTheme="majorHAnsi" w:cstheme="majorBidi"/>
          <w:color w:val="2F5496" w:themeColor="accent1" w:themeShade="BF"/>
          <w:sz w:val="26"/>
          <w:szCs w:val="26"/>
        </w:rPr>
        <w:t>Privacy Impact Assessment der CNIL</w:t>
      </w:r>
    </w:p>
    <w:p w14:paraId="0CD6049F" w14:textId="1E43A0C6" w:rsidR="00E052E6" w:rsidRPr="00E052E6" w:rsidRDefault="00054403" w:rsidP="00E052E6">
      <w:r>
        <w:t>Hierbei handelt es sich um eine von der französischen Datenschutzaufsichtsbehörde (CNIL) entw</w:t>
      </w:r>
      <w:r>
        <w:t>i</w:t>
      </w:r>
      <w:r>
        <w:t xml:space="preserve">ckelte Software zur Datenschutz-Folgenabschätzung (PIA-Tool). </w:t>
      </w:r>
      <w:r w:rsidR="00E052E6" w:rsidRPr="00E052E6">
        <w:t xml:space="preserve">Begleitende Dokumente </w:t>
      </w:r>
      <w:r>
        <w:t xml:space="preserve">in englischer Sprache </w:t>
      </w:r>
      <w:r w:rsidR="00E052E6" w:rsidRPr="00E052E6">
        <w:t xml:space="preserve">liegen </w:t>
      </w:r>
      <w:r>
        <w:t>vor</w:t>
      </w:r>
      <w:r w:rsidR="00E052E6" w:rsidRPr="00E052E6">
        <w:t xml:space="preserve">: </w:t>
      </w:r>
      <w:hyperlink r:id="rId15" w:history="1">
        <w:r w:rsidR="00E052E6" w:rsidRPr="00E052E6">
          <w:rPr>
            <w:color w:val="0563C1" w:themeColor="hyperlink"/>
            <w:u w:val="single"/>
          </w:rPr>
          <w:t>https://www.cnil.fr/en/PIA-privacy-impact-assessment-en</w:t>
        </w:r>
      </w:hyperlink>
      <w:r w:rsidR="00E052E6" w:rsidRPr="00E052E6">
        <w:t xml:space="preserve"> </w:t>
      </w:r>
    </w:p>
    <w:p w14:paraId="097C0475" w14:textId="77777777" w:rsidR="00E052E6" w:rsidRPr="00E052E6" w:rsidRDefault="00E052E6" w:rsidP="00E052E6">
      <w:r w:rsidRPr="00E052E6">
        <w:t>Es kann eine PIA-Software in deutscher Sprache verwendet werden. Hierbei werden Angaben in vier Abschnitten erhoben und strukturiert:</w:t>
      </w:r>
    </w:p>
    <w:p w14:paraId="75C3B4EC" w14:textId="77777777" w:rsidR="00E052E6" w:rsidRPr="00E052E6" w:rsidRDefault="00E052E6" w:rsidP="00E052E6">
      <w:pPr>
        <w:numPr>
          <w:ilvl w:val="0"/>
          <w:numId w:val="17"/>
        </w:numPr>
        <w:contextualSpacing/>
      </w:pPr>
      <w:r w:rsidRPr="00E052E6">
        <w:t>Kontext (allgemeine Angaben sowie die personenbezogenen Daten selbst, Lebenszyklus der Daten und Betriebsmittel)</w:t>
      </w:r>
    </w:p>
    <w:p w14:paraId="7000B951" w14:textId="77777777" w:rsidR="00E052E6" w:rsidRPr="00E052E6" w:rsidRDefault="00E052E6" w:rsidP="00E052E6">
      <w:pPr>
        <w:numPr>
          <w:ilvl w:val="0"/>
          <w:numId w:val="17"/>
        </w:numPr>
        <w:contextualSpacing/>
      </w:pPr>
      <w:r w:rsidRPr="00E052E6">
        <w:t>Grundlegende Prinzipien (Verhältnismäßigkeit, Notwendigkeit, Rechtsgrundlage, Speiche</w:t>
      </w:r>
      <w:r w:rsidRPr="00E052E6">
        <w:t>r</w:t>
      </w:r>
      <w:r w:rsidRPr="00E052E6">
        <w:t>dauer; Information über Rechte der Betroffenen, Auftragsverarbeiter, Empfänger in Drittlä</w:t>
      </w:r>
      <w:r w:rsidRPr="00E052E6">
        <w:t>n</w:t>
      </w:r>
      <w:r w:rsidRPr="00E052E6">
        <w:t>dern)</w:t>
      </w:r>
    </w:p>
    <w:p w14:paraId="66D254BB" w14:textId="77777777" w:rsidR="00E052E6" w:rsidRPr="00E052E6" w:rsidRDefault="00E052E6" w:rsidP="00E052E6">
      <w:pPr>
        <w:numPr>
          <w:ilvl w:val="0"/>
          <w:numId w:val="17"/>
        </w:numPr>
        <w:contextualSpacing/>
      </w:pPr>
      <w:r w:rsidRPr="00E052E6">
        <w:t>Risiken</w:t>
      </w:r>
    </w:p>
    <w:p w14:paraId="2E0970F6" w14:textId="77777777" w:rsidR="00E052E6" w:rsidRPr="00E052E6" w:rsidRDefault="00E052E6" w:rsidP="00E052E6">
      <w:pPr>
        <w:numPr>
          <w:ilvl w:val="1"/>
          <w:numId w:val="17"/>
        </w:numPr>
        <w:contextualSpacing/>
      </w:pPr>
      <w:r w:rsidRPr="00E052E6">
        <w:t>Aktuelle und geplante Maßnahmen</w:t>
      </w:r>
    </w:p>
    <w:p w14:paraId="3B3F5DD7" w14:textId="77777777" w:rsidR="00E052E6" w:rsidRPr="00E052E6" w:rsidRDefault="00E052E6" w:rsidP="00E052E6">
      <w:pPr>
        <w:numPr>
          <w:ilvl w:val="1"/>
          <w:numId w:val="17"/>
        </w:numPr>
        <w:contextualSpacing/>
      </w:pPr>
      <w:r w:rsidRPr="00E052E6">
        <w:t>Unrechtmäßiger Zugriff auf Daten/Unerwünschte Veränderung von D</w:t>
      </w:r>
      <w:r w:rsidRPr="00E052E6">
        <w:t>a</w:t>
      </w:r>
      <w:r w:rsidRPr="00E052E6">
        <w:t>ten/Datenverlust</w:t>
      </w:r>
    </w:p>
    <w:p w14:paraId="08FFDE18" w14:textId="77777777" w:rsidR="00E052E6" w:rsidRPr="00E052E6" w:rsidRDefault="00E052E6" w:rsidP="00E052E6">
      <w:pPr>
        <w:numPr>
          <w:ilvl w:val="0"/>
          <w:numId w:val="17"/>
        </w:numPr>
        <w:contextualSpacing/>
      </w:pPr>
      <w:r w:rsidRPr="00E052E6">
        <w:t>Aktionsplan (Verknüpfung der Angaben)</w:t>
      </w:r>
    </w:p>
    <w:p w14:paraId="3E34BAD8" w14:textId="049B2DB5" w:rsidR="00E052E6" w:rsidRDefault="00E052E6" w:rsidP="00E052E6">
      <w:r w:rsidRPr="00E052E6">
        <w:t xml:space="preserve">Durch die Software-Lösung </w:t>
      </w:r>
      <w:r w:rsidR="00054403">
        <w:t xml:space="preserve">handelt es sich </w:t>
      </w:r>
      <w:r w:rsidRPr="00E052E6">
        <w:t xml:space="preserve">insgesamt </w:t>
      </w:r>
      <w:r w:rsidR="00054403">
        <w:t xml:space="preserve">um </w:t>
      </w:r>
      <w:r w:rsidRPr="00E052E6">
        <w:t>ein sehr strukturiertes Vorgehen, das alle</w:t>
      </w:r>
      <w:r w:rsidRPr="00E052E6">
        <w:t>r</w:t>
      </w:r>
      <w:r w:rsidRPr="00E052E6">
        <w:t>dings keine Anpassung des Vorgehens ermöglicht. Es wird auch ein Sechs-Augen-Prinzip angewendet, wodurch Eingaben erst geprüft oder bestätigt werden müssen, bevor es weiter gehen kann</w:t>
      </w:r>
      <w:r w:rsidR="00054403">
        <w:t>. D</w:t>
      </w:r>
      <w:r w:rsidRPr="00E052E6">
        <w:t xml:space="preserve">ies kann lästig sein, wenn die DSFA von nur einer Person erfasst wird. </w:t>
      </w:r>
      <w:r w:rsidR="00054403">
        <w:t>Es ist jedoch eine Prüfung als Ei</w:t>
      </w:r>
      <w:r w:rsidR="00054403">
        <w:t>n</w:t>
      </w:r>
      <w:r w:rsidR="00054403">
        <w:t xml:space="preserve">zelperson möglich, indem die Anforderungen übersprungen werden. </w:t>
      </w:r>
      <w:r w:rsidRPr="00E052E6">
        <w:t>Zu jedem Eintrag können m</w:t>
      </w:r>
      <w:r w:rsidRPr="00E052E6">
        <w:t>a</w:t>
      </w:r>
      <w:r w:rsidRPr="00E052E6">
        <w:t>nuell Kommentare erfasst werden. Am Ende kann der DSB noch einen Kommentar hinterlegen und eine Meinung von Betroffenen kann erfasst werden.</w:t>
      </w:r>
      <w:r w:rsidR="00054403">
        <w:t xml:space="preserve"> </w:t>
      </w:r>
      <w:r w:rsidRPr="00E052E6">
        <w:t>Bereits etablierte Maßnahmen können aus e</w:t>
      </w:r>
      <w:r w:rsidRPr="00E052E6">
        <w:t>i</w:t>
      </w:r>
      <w:r w:rsidRPr="00E052E6">
        <w:t>nem Katalog ausgewählt oder manuell erfasst werden.</w:t>
      </w:r>
      <w:r w:rsidR="00054403">
        <w:t xml:space="preserve"> Der Charme liegt somit auch darin, dass das Tool konkrete Maßnahmenvorschläge in Bezug auf ermittelte Gefährdungen vorgibt. </w:t>
      </w:r>
      <w:r w:rsidRPr="00E052E6">
        <w:t>Die Daten we</w:t>
      </w:r>
      <w:r w:rsidRPr="00E052E6">
        <w:t>r</w:t>
      </w:r>
      <w:r w:rsidRPr="00E052E6">
        <w:t>den in einem textbasierten, offenen Datenformat abgelegt, können also auch extern weiterbearbe</w:t>
      </w:r>
      <w:r w:rsidRPr="00E052E6">
        <w:t>i</w:t>
      </w:r>
      <w:r w:rsidRPr="00E052E6">
        <w:t xml:space="preserve">tet werden. </w:t>
      </w:r>
    </w:p>
    <w:p w14:paraId="20E09CC6" w14:textId="7589D5F0" w:rsidR="00054403" w:rsidRDefault="00054403" w:rsidP="00E052E6">
      <w:r>
        <w:lastRenderedPageBreak/>
        <w:t>Allerdings geht die Software nur von den Gewährleistungszielen Vertraulichkeit, Verfügbar</w:t>
      </w:r>
      <w:r w:rsidR="00686D15">
        <w:t>keit und Integrität und diesbezüglichen Gefährdungen aus. Hier müsste gegebenenfalls eine Erweiterung der Software oder eine ergänzende manuelle Prüfung der fehlenden Gewährleistungsziele erfolgen. Durch den von den Gewährleistungszielen ausgehenden Ansatz, werden die 9 Kriterien der Art. 29-Gruppe nicht direkt berücksichtigt. Es müsste somit geprüft werden, wie die Kriterien in die Prüfung anhand der Gewährleistungsziele eingebaut werden. Die Aufsichtsbehörden in den Ländern befinden sich zum Teil in Tests des Softwaretools und haben bisher noch keine abschließende Beurteilung ve</w:t>
      </w:r>
      <w:r w:rsidR="00686D15">
        <w:t>r</w:t>
      </w:r>
      <w:r w:rsidR="00686D15">
        <w:t>lauten lassen, ob mit dem Tool eine vollständige DSFA durchgeführt werden kann. Zumindest eine Unterstützung wird wohl für möglich gehalten, wenn die fehlenden Aspekte mit ergänzenden Pr</w:t>
      </w:r>
      <w:r w:rsidR="00686D15">
        <w:t>ü</w:t>
      </w:r>
      <w:r w:rsidR="00686D15">
        <w:t>fungen sichergestellt werden. Einige Aufsichtsbehörden haben die Auskunft gegeben, dass Anfang 2019 eine Entscheidung der Aufsichtsbehörden zu erwarten ist.</w:t>
      </w:r>
    </w:p>
    <w:p w14:paraId="4ED8DBA5" w14:textId="77777777" w:rsidR="00054403" w:rsidRPr="00E052E6" w:rsidRDefault="00054403" w:rsidP="00E052E6"/>
    <w:p w14:paraId="07F0C1EB" w14:textId="77777777" w:rsidR="00E052E6" w:rsidRPr="00E052E6" w:rsidRDefault="00E052E6" w:rsidP="00E052E6">
      <w:pPr>
        <w:keepNext/>
        <w:keepLines/>
        <w:spacing w:before="40" w:after="0"/>
        <w:outlineLvl w:val="1"/>
        <w:rPr>
          <w:rFonts w:asciiTheme="majorHAnsi" w:eastAsiaTheme="majorEastAsia" w:hAnsiTheme="majorHAnsi" w:cstheme="majorBidi"/>
          <w:color w:val="2F5496" w:themeColor="accent1" w:themeShade="BF"/>
          <w:sz w:val="26"/>
          <w:szCs w:val="26"/>
        </w:rPr>
      </w:pPr>
      <w:r w:rsidRPr="00E052E6">
        <w:rPr>
          <w:rFonts w:asciiTheme="majorHAnsi" w:eastAsiaTheme="majorEastAsia" w:hAnsiTheme="majorHAnsi" w:cstheme="majorBidi"/>
          <w:color w:val="2F5496" w:themeColor="accent1" w:themeShade="BF"/>
          <w:sz w:val="26"/>
          <w:szCs w:val="26"/>
        </w:rPr>
        <w:t>Standard-Datenschutz-Modell des ULD SH/der DSK</w:t>
      </w:r>
    </w:p>
    <w:p w14:paraId="3A4C18DB" w14:textId="5EF65772" w:rsidR="00E052E6" w:rsidRDefault="00416FC1" w:rsidP="00E052E6">
      <w:r>
        <w:t>Als weitere Unterstützung kommt das Standard-Datenschutz-Modell in Betracht. E</w:t>
      </w:r>
      <w:r w:rsidR="00E052E6" w:rsidRPr="00E052E6">
        <w:t>ine beispielhafte Durchführung</w:t>
      </w:r>
      <w:r>
        <w:t xml:space="preserve"> einer Prüfung, ist unter folgender URL verfügbar</w:t>
      </w:r>
      <w:r w:rsidR="00E052E6" w:rsidRPr="00E052E6">
        <w:t xml:space="preserve">: </w:t>
      </w:r>
      <w:hyperlink r:id="rId16" w:history="1">
        <w:r w:rsidR="00E052E6" w:rsidRPr="00E052E6">
          <w:rPr>
            <w:color w:val="0563C1" w:themeColor="hyperlink"/>
            <w:u w:val="single"/>
          </w:rPr>
          <w:t>https://www.datenschutzzentrum.de/uploads/datenschutzfolgenabschaetzung/20171106-Planspiel-Datenschutz-Folgenabschaetzung.pdf</w:t>
        </w:r>
      </w:hyperlink>
      <w:r w:rsidR="00E052E6" w:rsidRPr="00E052E6">
        <w:t xml:space="preserve"> </w:t>
      </w:r>
    </w:p>
    <w:p w14:paraId="2B8588E8" w14:textId="26F31624" w:rsidR="00416FC1" w:rsidRPr="00E052E6" w:rsidRDefault="00416FC1" w:rsidP="00E052E6">
      <w:r>
        <w:t>Hierbei stellen sich die folgenden Aufgaben:</w:t>
      </w:r>
    </w:p>
    <w:p w14:paraId="14626426" w14:textId="55C3F1C2" w:rsidR="00E052E6" w:rsidRPr="00E052E6" w:rsidRDefault="00E052E6" w:rsidP="00E052E6">
      <w:pPr>
        <w:numPr>
          <w:ilvl w:val="0"/>
          <w:numId w:val="19"/>
        </w:numPr>
        <w:contextualSpacing/>
      </w:pPr>
      <w:r w:rsidRPr="00E052E6">
        <w:t xml:space="preserve">Daten, Systeme, Prozesse </w:t>
      </w:r>
      <w:r w:rsidR="00416FC1">
        <w:t>müssen identifiziert werden</w:t>
      </w:r>
    </w:p>
    <w:p w14:paraId="1DA8D070" w14:textId="69010E37" w:rsidR="00E052E6" w:rsidRPr="00E052E6" w:rsidRDefault="00E052E6" w:rsidP="00E052E6">
      <w:pPr>
        <w:numPr>
          <w:ilvl w:val="0"/>
          <w:numId w:val="19"/>
        </w:numPr>
        <w:contextualSpacing/>
      </w:pPr>
      <w:r w:rsidRPr="00E052E6">
        <w:t xml:space="preserve">Gewährleistungsziele (datenschutzrechtliche Anforderungen) </w:t>
      </w:r>
      <w:r w:rsidR="00416FC1">
        <w:t>müssen festgelegt werden</w:t>
      </w:r>
    </w:p>
    <w:p w14:paraId="705108DD" w14:textId="7AF727BF" w:rsidR="00E052E6" w:rsidRPr="00E052E6" w:rsidRDefault="00E052E6" w:rsidP="00E052E6">
      <w:pPr>
        <w:numPr>
          <w:ilvl w:val="0"/>
          <w:numId w:val="19"/>
        </w:numPr>
        <w:contextualSpacing/>
      </w:pPr>
      <w:r w:rsidRPr="00E052E6">
        <w:t xml:space="preserve">Generische Maßnahmen zur Umsetzung des Datenschutzes </w:t>
      </w:r>
      <w:r w:rsidR="00416FC1">
        <w:t>müssen festgelegt werden</w:t>
      </w:r>
    </w:p>
    <w:p w14:paraId="4CADE8D0" w14:textId="296E5F42" w:rsidR="00E052E6" w:rsidRPr="00E052E6" w:rsidRDefault="00E052E6" w:rsidP="00E052E6">
      <w:r w:rsidRPr="00E052E6">
        <w:t>Im Bereich der Risikobewertung werden wenige konkrete Fragen als Beispiele oder Hilfestellung g</w:t>
      </w:r>
      <w:r w:rsidRPr="00E052E6">
        <w:t>e</w:t>
      </w:r>
      <w:r w:rsidRPr="00E052E6">
        <w:t>geben. Es ist daher eher für Datenschutz-Experten geeignet.</w:t>
      </w:r>
      <w:r w:rsidR="00416FC1">
        <w:t xml:space="preserve"> </w:t>
      </w:r>
      <w:r w:rsidRPr="00E052E6">
        <w:t>Das konkrete Vorgehen ist an keiner Stelle zusammenfassend als Prozessbeschreibung aufgeführt, an der man sich orientiert könnte.</w:t>
      </w:r>
      <w:r w:rsidR="00416FC1">
        <w:t xml:space="preserve"> In</w:t>
      </w:r>
      <w:r w:rsidR="00416FC1">
        <w:t>s</w:t>
      </w:r>
      <w:r w:rsidR="00416FC1">
        <w:t>gesamt handelt es sich somit eher um ein Expertentool, dass somit zu einer Unterstützung der DSFA mit einer breiten Beteiligung von Personen wenig geeignet ist.</w:t>
      </w:r>
    </w:p>
    <w:sectPr w:rsidR="00E052E6" w:rsidRPr="00E052E6" w:rsidSect="009918E1">
      <w:headerReference w:type="default" r:id="rId17"/>
      <w:footerReference w:type="default" r:id="rId18"/>
      <w:pgSz w:w="11906" w:h="16838"/>
      <w:pgMar w:top="1417" w:right="1417" w:bottom="141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EBB99" w14:textId="77777777" w:rsidR="0040169D" w:rsidRDefault="0040169D" w:rsidP="00E052E6">
      <w:pPr>
        <w:spacing w:after="0" w:line="240" w:lineRule="auto"/>
      </w:pPr>
      <w:r>
        <w:separator/>
      </w:r>
    </w:p>
  </w:endnote>
  <w:endnote w:type="continuationSeparator" w:id="0">
    <w:p w14:paraId="599A9505" w14:textId="77777777" w:rsidR="0040169D" w:rsidRDefault="0040169D" w:rsidP="00E0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23311"/>
      <w:docPartObj>
        <w:docPartGallery w:val="Page Numbers (Bottom of Page)"/>
        <w:docPartUnique/>
      </w:docPartObj>
    </w:sdtPr>
    <w:sdtEndPr/>
    <w:sdtContent>
      <w:p w14:paraId="3EA11E98" w14:textId="490D93B9" w:rsidR="00E052E6" w:rsidRDefault="004F589A" w:rsidP="009918E1">
        <w:pPr>
          <w:pStyle w:val="Fuzeile"/>
        </w:pPr>
        <w:r w:rsidRPr="00710558">
          <w:t xml:space="preserve">Erstellt von der NRW Projektgruppe „EU-DSGVO – Datenschutzmanagementsysteme“ 2018 </w:t>
        </w:r>
        <w:r w:rsidRPr="00710558">
          <w:tab/>
        </w:r>
        <w:r w:rsidRPr="00682DC4">
          <w:rPr>
            <w:noProof/>
            <w:lang w:eastAsia="de-DE"/>
          </w:rPr>
          <w:drawing>
            <wp:inline distT="0" distB="0" distL="0" distR="0" wp14:anchorId="738C7EDA" wp14:editId="6FEB75E4">
              <wp:extent cx="436728" cy="153848"/>
              <wp:effectExtent l="0" t="0" r="1905"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136" cy="15364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CB53E" w14:textId="77777777" w:rsidR="0040169D" w:rsidRDefault="0040169D" w:rsidP="00E052E6">
      <w:pPr>
        <w:spacing w:after="0" w:line="240" w:lineRule="auto"/>
      </w:pPr>
      <w:r>
        <w:separator/>
      </w:r>
    </w:p>
  </w:footnote>
  <w:footnote w:type="continuationSeparator" w:id="0">
    <w:p w14:paraId="5063CA0D" w14:textId="77777777" w:rsidR="0040169D" w:rsidRDefault="0040169D" w:rsidP="00E05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DF05A" w14:textId="40F6580F" w:rsidR="009918E1" w:rsidRDefault="009918E1" w:rsidP="009918E1">
    <w:pPr>
      <w:pStyle w:val="Kopfzeile"/>
    </w:pPr>
    <w:r>
      <w:t>DSFA − Grundlagen, Methodik</w:t>
    </w:r>
    <w:r>
      <w:t xml:space="preserve"> </w:t>
    </w:r>
    <w:r>
      <w:tab/>
    </w:r>
    <w:r>
      <w:fldChar w:fldCharType="begin"/>
    </w:r>
    <w:r>
      <w:instrText xml:space="preserve"> PAGE  \* Arabic  \* MERGEFORMAT </w:instrText>
    </w:r>
    <w:r>
      <w:fldChar w:fldCharType="separate"/>
    </w:r>
    <w:r>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5E82"/>
    <w:multiLevelType w:val="hybridMultilevel"/>
    <w:tmpl w:val="A4524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3060EA"/>
    <w:multiLevelType w:val="hybridMultilevel"/>
    <w:tmpl w:val="1A745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88B5CF6"/>
    <w:multiLevelType w:val="multilevel"/>
    <w:tmpl w:val="2DE06C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DF5169A"/>
    <w:multiLevelType w:val="hybridMultilevel"/>
    <w:tmpl w:val="4816D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439055B"/>
    <w:multiLevelType w:val="hybridMultilevel"/>
    <w:tmpl w:val="45D46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B8D362A"/>
    <w:multiLevelType w:val="hybridMultilevel"/>
    <w:tmpl w:val="3022F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0B19E9"/>
    <w:multiLevelType w:val="hybridMultilevel"/>
    <w:tmpl w:val="8482F97C"/>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71215FC"/>
    <w:multiLevelType w:val="hybridMultilevel"/>
    <w:tmpl w:val="33B402C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74659C2"/>
    <w:multiLevelType w:val="hybridMultilevel"/>
    <w:tmpl w:val="6E481E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9E85570"/>
    <w:multiLevelType w:val="multilevel"/>
    <w:tmpl w:val="D8C21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5008E2"/>
    <w:multiLevelType w:val="hybridMultilevel"/>
    <w:tmpl w:val="F54C0A48"/>
    <w:lvl w:ilvl="0" w:tplc="F7BA30D6">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B906DBB"/>
    <w:multiLevelType w:val="hybridMultilevel"/>
    <w:tmpl w:val="CDE09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CC822AE"/>
    <w:multiLevelType w:val="hybridMultilevel"/>
    <w:tmpl w:val="535EA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DD446CF"/>
    <w:multiLevelType w:val="hybridMultilevel"/>
    <w:tmpl w:val="8E9C8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1CB7A28"/>
    <w:multiLevelType w:val="hybridMultilevel"/>
    <w:tmpl w:val="73E48716"/>
    <w:lvl w:ilvl="0" w:tplc="A6BC29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6297CB0"/>
    <w:multiLevelType w:val="hybridMultilevel"/>
    <w:tmpl w:val="82462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76C59E2"/>
    <w:multiLevelType w:val="hybridMultilevel"/>
    <w:tmpl w:val="A04AB0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9E37DA1"/>
    <w:multiLevelType w:val="hybridMultilevel"/>
    <w:tmpl w:val="D74AC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D4D05CB"/>
    <w:multiLevelType w:val="hybridMultilevel"/>
    <w:tmpl w:val="00ACFF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33517C1"/>
    <w:multiLevelType w:val="hybridMultilevel"/>
    <w:tmpl w:val="D6AAB1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85919A1"/>
    <w:multiLevelType w:val="hybridMultilevel"/>
    <w:tmpl w:val="5A18CEEA"/>
    <w:lvl w:ilvl="0" w:tplc="1B8C3FF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8D64C24"/>
    <w:multiLevelType w:val="hybridMultilevel"/>
    <w:tmpl w:val="11A0A2F0"/>
    <w:lvl w:ilvl="0" w:tplc="EDB609F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9E73329"/>
    <w:multiLevelType w:val="multilevel"/>
    <w:tmpl w:val="B4B4F65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6DE82618"/>
    <w:multiLevelType w:val="hybridMultilevel"/>
    <w:tmpl w:val="20A60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0FD6AE4"/>
    <w:multiLevelType w:val="multilevel"/>
    <w:tmpl w:val="0F6E3A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1034C55"/>
    <w:multiLevelType w:val="hybridMultilevel"/>
    <w:tmpl w:val="00ACFF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CE94BF0"/>
    <w:multiLevelType w:val="hybridMultilevel"/>
    <w:tmpl w:val="4B709FEC"/>
    <w:lvl w:ilvl="0" w:tplc="2044552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
  </w:num>
  <w:num w:numId="3">
    <w:abstractNumId w:val="14"/>
  </w:num>
  <w:num w:numId="4">
    <w:abstractNumId w:val="16"/>
  </w:num>
  <w:num w:numId="5">
    <w:abstractNumId w:val="18"/>
  </w:num>
  <w:num w:numId="6">
    <w:abstractNumId w:val="6"/>
  </w:num>
  <w:num w:numId="7">
    <w:abstractNumId w:val="5"/>
  </w:num>
  <w:num w:numId="8">
    <w:abstractNumId w:val="7"/>
  </w:num>
  <w:num w:numId="9">
    <w:abstractNumId w:val="0"/>
  </w:num>
  <w:num w:numId="10">
    <w:abstractNumId w:val="8"/>
  </w:num>
  <w:num w:numId="11">
    <w:abstractNumId w:val="3"/>
  </w:num>
  <w:num w:numId="12">
    <w:abstractNumId w:val="17"/>
  </w:num>
  <w:num w:numId="13">
    <w:abstractNumId w:val="11"/>
  </w:num>
  <w:num w:numId="14">
    <w:abstractNumId w:val="4"/>
  </w:num>
  <w:num w:numId="15">
    <w:abstractNumId w:val="12"/>
  </w:num>
  <w:num w:numId="16">
    <w:abstractNumId w:val="25"/>
  </w:num>
  <w:num w:numId="17">
    <w:abstractNumId w:val="21"/>
  </w:num>
  <w:num w:numId="18">
    <w:abstractNumId w:val="10"/>
  </w:num>
  <w:num w:numId="19">
    <w:abstractNumId w:val="26"/>
  </w:num>
  <w:num w:numId="20">
    <w:abstractNumId w:val="20"/>
  </w:num>
  <w:num w:numId="21">
    <w:abstractNumId w:val="13"/>
  </w:num>
  <w:num w:numId="22">
    <w:abstractNumId w:val="23"/>
  </w:num>
  <w:num w:numId="23">
    <w:abstractNumId w:val="2"/>
  </w:num>
  <w:num w:numId="24">
    <w:abstractNumId w:val="9"/>
  </w:num>
  <w:num w:numId="25">
    <w:abstractNumId w:val="24"/>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BE"/>
    <w:rsid w:val="00054403"/>
    <w:rsid w:val="00077ADD"/>
    <w:rsid w:val="000D4CC2"/>
    <w:rsid w:val="00135FDA"/>
    <w:rsid w:val="00173770"/>
    <w:rsid w:val="00182832"/>
    <w:rsid w:val="002B5CFD"/>
    <w:rsid w:val="002D7E1F"/>
    <w:rsid w:val="002E758F"/>
    <w:rsid w:val="0032609C"/>
    <w:rsid w:val="00351E47"/>
    <w:rsid w:val="003727CE"/>
    <w:rsid w:val="00377226"/>
    <w:rsid w:val="003B191C"/>
    <w:rsid w:val="0040169D"/>
    <w:rsid w:val="00416FC1"/>
    <w:rsid w:val="00437BB8"/>
    <w:rsid w:val="00443A35"/>
    <w:rsid w:val="00453FE9"/>
    <w:rsid w:val="00463F9C"/>
    <w:rsid w:val="004763E6"/>
    <w:rsid w:val="004F589A"/>
    <w:rsid w:val="00563451"/>
    <w:rsid w:val="0062127F"/>
    <w:rsid w:val="00624D0B"/>
    <w:rsid w:val="00646B2D"/>
    <w:rsid w:val="0067104C"/>
    <w:rsid w:val="00686D15"/>
    <w:rsid w:val="006E4EAC"/>
    <w:rsid w:val="007125DA"/>
    <w:rsid w:val="00722ABE"/>
    <w:rsid w:val="007320D0"/>
    <w:rsid w:val="0078468B"/>
    <w:rsid w:val="00797402"/>
    <w:rsid w:val="007A7A02"/>
    <w:rsid w:val="007B4AC2"/>
    <w:rsid w:val="008157EF"/>
    <w:rsid w:val="00817AE4"/>
    <w:rsid w:val="00913F83"/>
    <w:rsid w:val="009918E1"/>
    <w:rsid w:val="009D3631"/>
    <w:rsid w:val="00A46FF0"/>
    <w:rsid w:val="00AB48A8"/>
    <w:rsid w:val="00B831CA"/>
    <w:rsid w:val="00C2594D"/>
    <w:rsid w:val="00C466AF"/>
    <w:rsid w:val="00C54E0C"/>
    <w:rsid w:val="00C87A03"/>
    <w:rsid w:val="00CF48D3"/>
    <w:rsid w:val="00D52E7E"/>
    <w:rsid w:val="00D609E4"/>
    <w:rsid w:val="00D645C3"/>
    <w:rsid w:val="00DB219B"/>
    <w:rsid w:val="00DE59CB"/>
    <w:rsid w:val="00DF5BB9"/>
    <w:rsid w:val="00E052E6"/>
    <w:rsid w:val="00E17844"/>
    <w:rsid w:val="00E706F5"/>
    <w:rsid w:val="00EB4871"/>
    <w:rsid w:val="00EF7F6B"/>
    <w:rsid w:val="00F32E5E"/>
    <w:rsid w:val="00FF0E3F"/>
    <w:rsid w:val="00FF6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3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3F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212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0E3F"/>
    <w:pPr>
      <w:ind w:left="720"/>
      <w:contextualSpacing/>
    </w:pPr>
  </w:style>
  <w:style w:type="table" w:styleId="Tabellenraster">
    <w:name w:val="Table Grid"/>
    <w:basedOn w:val="NormaleTabelle"/>
    <w:uiPriority w:val="39"/>
    <w:rsid w:val="00FF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63F9C"/>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63F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F9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463F9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62127F"/>
    <w:rPr>
      <w:rFonts w:asciiTheme="majorHAnsi" w:eastAsiaTheme="majorEastAsia" w:hAnsiTheme="majorHAnsi" w:cstheme="majorBidi"/>
      <w:color w:val="1F3763" w:themeColor="accent1" w:themeShade="7F"/>
      <w:sz w:val="24"/>
      <w:szCs w:val="24"/>
    </w:rPr>
  </w:style>
  <w:style w:type="table" w:customStyle="1" w:styleId="GridTableLight">
    <w:name w:val="Grid Table Light"/>
    <w:basedOn w:val="NormaleTabelle"/>
    <w:uiPriority w:val="40"/>
    <w:rsid w:val="003260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9918E1"/>
    <w:pPr>
      <w:pBdr>
        <w:bottom w:val="single" w:sz="4" w:space="1" w:color="auto"/>
      </w:pBdr>
      <w:tabs>
        <w:tab w:val="right" w:pos="9072"/>
      </w:tabs>
      <w:spacing w:after="0" w:line="240" w:lineRule="auto"/>
    </w:pPr>
  </w:style>
  <w:style w:type="character" w:customStyle="1" w:styleId="KopfzeileZchn">
    <w:name w:val="Kopfzeile Zchn"/>
    <w:basedOn w:val="Absatz-Standardschriftart"/>
    <w:link w:val="Kopfzeile"/>
    <w:uiPriority w:val="99"/>
    <w:rsid w:val="009918E1"/>
  </w:style>
  <w:style w:type="paragraph" w:styleId="Fuzeile">
    <w:name w:val="footer"/>
    <w:basedOn w:val="Standard"/>
    <w:link w:val="FuzeileZchn"/>
    <w:uiPriority w:val="99"/>
    <w:unhideWhenUsed/>
    <w:rsid w:val="00E052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52E6"/>
  </w:style>
  <w:style w:type="paragraph" w:styleId="Untertitel">
    <w:name w:val="Subtitle"/>
    <w:basedOn w:val="Standard"/>
    <w:next w:val="Standard"/>
    <w:link w:val="UntertitelZchn"/>
    <w:uiPriority w:val="11"/>
    <w:qFormat/>
    <w:rsid w:val="004F589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F589A"/>
    <w:rPr>
      <w:rFonts w:eastAsiaTheme="minorEastAsia"/>
      <w:color w:val="5A5A5A" w:themeColor="text1" w:themeTint="A5"/>
      <w:spacing w:val="15"/>
    </w:rPr>
  </w:style>
  <w:style w:type="paragraph" w:styleId="Sprechblasentext">
    <w:name w:val="Balloon Text"/>
    <w:basedOn w:val="Standard"/>
    <w:link w:val="SprechblasentextZchn"/>
    <w:uiPriority w:val="99"/>
    <w:semiHidden/>
    <w:unhideWhenUsed/>
    <w:rsid w:val="009918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1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463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463F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6212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0E3F"/>
    <w:pPr>
      <w:ind w:left="720"/>
      <w:contextualSpacing/>
    </w:pPr>
  </w:style>
  <w:style w:type="table" w:styleId="Tabellenraster">
    <w:name w:val="Table Grid"/>
    <w:basedOn w:val="NormaleTabelle"/>
    <w:uiPriority w:val="39"/>
    <w:rsid w:val="00FF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63F9C"/>
    <w:rPr>
      <w:rFonts w:asciiTheme="majorHAnsi" w:eastAsiaTheme="majorEastAsia" w:hAnsiTheme="majorHAnsi" w:cstheme="majorBidi"/>
      <w:color w:val="2F5496" w:themeColor="accent1" w:themeShade="BF"/>
      <w:sz w:val="32"/>
      <w:szCs w:val="32"/>
    </w:rPr>
  </w:style>
  <w:style w:type="paragraph" w:styleId="Titel">
    <w:name w:val="Title"/>
    <w:basedOn w:val="Standard"/>
    <w:next w:val="Standard"/>
    <w:link w:val="TitelZchn"/>
    <w:uiPriority w:val="10"/>
    <w:qFormat/>
    <w:rsid w:val="00463F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F9C"/>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463F9C"/>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62127F"/>
    <w:rPr>
      <w:rFonts w:asciiTheme="majorHAnsi" w:eastAsiaTheme="majorEastAsia" w:hAnsiTheme="majorHAnsi" w:cstheme="majorBidi"/>
      <w:color w:val="1F3763" w:themeColor="accent1" w:themeShade="7F"/>
      <w:sz w:val="24"/>
      <w:szCs w:val="24"/>
    </w:rPr>
  </w:style>
  <w:style w:type="table" w:customStyle="1" w:styleId="GridTableLight">
    <w:name w:val="Grid Table Light"/>
    <w:basedOn w:val="NormaleTabelle"/>
    <w:uiPriority w:val="40"/>
    <w:rsid w:val="003260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fzeile">
    <w:name w:val="header"/>
    <w:basedOn w:val="Standard"/>
    <w:link w:val="KopfzeileZchn"/>
    <w:uiPriority w:val="99"/>
    <w:unhideWhenUsed/>
    <w:rsid w:val="009918E1"/>
    <w:pPr>
      <w:pBdr>
        <w:bottom w:val="single" w:sz="4" w:space="1" w:color="auto"/>
      </w:pBdr>
      <w:tabs>
        <w:tab w:val="right" w:pos="9072"/>
      </w:tabs>
      <w:spacing w:after="0" w:line="240" w:lineRule="auto"/>
    </w:pPr>
  </w:style>
  <w:style w:type="character" w:customStyle="1" w:styleId="KopfzeileZchn">
    <w:name w:val="Kopfzeile Zchn"/>
    <w:basedOn w:val="Absatz-Standardschriftart"/>
    <w:link w:val="Kopfzeile"/>
    <w:uiPriority w:val="99"/>
    <w:rsid w:val="009918E1"/>
  </w:style>
  <w:style w:type="paragraph" w:styleId="Fuzeile">
    <w:name w:val="footer"/>
    <w:basedOn w:val="Standard"/>
    <w:link w:val="FuzeileZchn"/>
    <w:uiPriority w:val="99"/>
    <w:unhideWhenUsed/>
    <w:rsid w:val="00E052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52E6"/>
  </w:style>
  <w:style w:type="paragraph" w:styleId="Untertitel">
    <w:name w:val="Subtitle"/>
    <w:basedOn w:val="Standard"/>
    <w:next w:val="Standard"/>
    <w:link w:val="UntertitelZchn"/>
    <w:uiPriority w:val="11"/>
    <w:qFormat/>
    <w:rsid w:val="004F589A"/>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F589A"/>
    <w:rPr>
      <w:rFonts w:eastAsiaTheme="minorEastAsia"/>
      <w:color w:val="5A5A5A" w:themeColor="text1" w:themeTint="A5"/>
      <w:spacing w:val="15"/>
    </w:rPr>
  </w:style>
  <w:style w:type="paragraph" w:styleId="Sprechblasentext">
    <w:name w:val="Balloon Text"/>
    <w:basedOn w:val="Standard"/>
    <w:link w:val="SprechblasentextZchn"/>
    <w:uiPriority w:val="99"/>
    <w:semiHidden/>
    <w:unhideWhenUsed/>
    <w:rsid w:val="009918E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1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sa/3.0/de/legalcode"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datenschutzzentrum.de/uploads/datenschutzfolgenabschaetzung/20171106-Planspiel-Datenschutz-Folgenabschaetzung.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cnil.fr/en/PIA-privacy-impact-assessment-en" TargetMode="External"/><Relationship Id="rId23" Type="http://schemas.openxmlformats.org/officeDocument/2006/relationships/customXml" Target="../customXml/item3.xm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BF767ADA4A3D43BB08FDE7547AEE18" ma:contentTypeVersion="0" ma:contentTypeDescription="Ein neues Dokument erstellen." ma:contentTypeScope="" ma:versionID="e7f386acd37bcad4f969b603eab98559">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32A08F-0411-467E-B7F0-4469BC256B39}"/>
</file>

<file path=customXml/itemProps2.xml><?xml version="1.0" encoding="utf-8"?>
<ds:datastoreItem xmlns:ds="http://schemas.openxmlformats.org/officeDocument/2006/customXml" ds:itemID="{D0DD33D0-FCD9-4999-8889-038BE0C542FD}"/>
</file>

<file path=customXml/itemProps3.xml><?xml version="1.0" encoding="utf-8"?>
<ds:datastoreItem xmlns:ds="http://schemas.openxmlformats.org/officeDocument/2006/customXml" ds:itemID="{58100E8C-9E04-40A2-BC56-BFD49A3C5658}"/>
</file>

<file path=docProps/app.xml><?xml version="1.0" encoding="utf-8"?>
<Properties xmlns="http://schemas.openxmlformats.org/officeDocument/2006/extended-properties" xmlns:vt="http://schemas.openxmlformats.org/officeDocument/2006/docPropsVTypes">
  <Template>Normal.dotm</Template>
  <TotalTime>0</TotalTime>
  <Pages>13</Pages>
  <Words>4007</Words>
  <Characters>25251</Characters>
  <Application>Microsoft Office Word</Application>
  <DocSecurity>0</DocSecurity>
  <Lines>210</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Köcher</dc:creator>
  <cp:keywords/>
  <dc:description/>
  <cp:lastModifiedBy>Andreas Brennecke</cp:lastModifiedBy>
  <cp:revision>5</cp:revision>
  <cp:lastPrinted>2018-11-06T09:27:00Z</cp:lastPrinted>
  <dcterms:created xsi:type="dcterms:W3CDTF">2019-02-28T11:30:00Z</dcterms:created>
  <dcterms:modified xsi:type="dcterms:W3CDTF">2019-06-11T13:05:00Z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0x01010099BF767ADA4A3D43BB08FDE7547AEE18</vt:lpwstr>
  </property>
</Properties>
</file>